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3" w:type="dxa"/>
        <w:tblInd w:w="93" w:type="dxa"/>
        <w:tblLook w:val="04A0" w:firstRow="1" w:lastRow="0" w:firstColumn="1" w:lastColumn="0" w:noHBand="0" w:noVBand="1"/>
      </w:tblPr>
      <w:tblGrid>
        <w:gridCol w:w="852"/>
        <w:gridCol w:w="40"/>
        <w:gridCol w:w="1180"/>
        <w:gridCol w:w="1180"/>
        <w:gridCol w:w="6791"/>
        <w:gridCol w:w="260"/>
      </w:tblGrid>
      <w:tr w:rsidR="008261A4" w14:paraId="0E6829ED" w14:textId="77777777" w:rsidTr="008261A4">
        <w:trPr>
          <w:trHeight w:val="650"/>
        </w:trPr>
        <w:tc>
          <w:tcPr>
            <w:tcW w:w="10303" w:type="dxa"/>
            <w:gridSpan w:val="6"/>
            <w:tcBorders>
              <w:top w:val="single" w:sz="4" w:space="0" w:color="auto"/>
              <w:left w:val="single" w:sz="4" w:space="0" w:color="auto"/>
              <w:bottom w:val="single" w:sz="4" w:space="0" w:color="auto"/>
              <w:right w:val="single" w:sz="4" w:space="0" w:color="auto"/>
            </w:tcBorders>
            <w:noWrap/>
          </w:tcPr>
          <w:p w14:paraId="607F4ADF" w14:textId="77777777" w:rsidR="008261A4" w:rsidRPr="008261A4" w:rsidRDefault="008261A4" w:rsidP="008261A4">
            <w:pPr>
              <w:spacing w:after="0" w:line="240" w:lineRule="auto"/>
              <w:rPr>
                <w:rFonts w:eastAsia="Times New Roman" w:cs="Calibri"/>
                <w:b/>
                <w:bCs/>
                <w:color w:val="000000"/>
                <w:sz w:val="24"/>
                <w:szCs w:val="24"/>
                <w:lang w:eastAsia="en-GB"/>
              </w:rPr>
            </w:pPr>
            <w:bookmarkStart w:id="0" w:name="_GoBack"/>
            <w:r w:rsidRPr="008261A4">
              <w:rPr>
                <w:rFonts w:eastAsia="Times New Roman" w:cs="Calibri"/>
                <w:b/>
                <w:bCs/>
                <w:color w:val="000000"/>
                <w:sz w:val="24"/>
                <w:szCs w:val="24"/>
                <w:lang w:eastAsia="en-GB"/>
              </w:rPr>
              <w:t>Analysis of Advice on Proposal for elective orthopaedic care in South East London</w:t>
            </w:r>
            <w:r w:rsidRPr="008261A4">
              <w:rPr>
                <w:rFonts w:eastAsia="Times New Roman" w:cs="Calibri"/>
                <w:b/>
                <w:bCs/>
                <w:color w:val="000000"/>
                <w:sz w:val="24"/>
                <w:szCs w:val="24"/>
                <w:lang w:eastAsia="en-GB"/>
              </w:rPr>
              <w:br/>
              <w:t xml:space="preserve"> London Clinical Senate Review June 2016 </w:t>
            </w:r>
          </w:p>
        </w:tc>
      </w:tr>
      <w:tr w:rsidR="00BF6C93" w14:paraId="13003AE2" w14:textId="77777777" w:rsidTr="008261A4">
        <w:trPr>
          <w:trHeight w:val="650"/>
        </w:trPr>
        <w:tc>
          <w:tcPr>
            <w:tcW w:w="852" w:type="dxa"/>
            <w:tcBorders>
              <w:top w:val="single" w:sz="4" w:space="0" w:color="auto"/>
              <w:left w:val="single" w:sz="4" w:space="0" w:color="auto"/>
              <w:bottom w:val="single" w:sz="4" w:space="0" w:color="auto"/>
              <w:right w:val="single" w:sz="4" w:space="0" w:color="auto"/>
            </w:tcBorders>
            <w:noWrap/>
            <w:hideMark/>
          </w:tcPr>
          <w:p w14:paraId="4D1D2590" w14:textId="77777777" w:rsidR="00BF6C93" w:rsidRDefault="00BF6C93">
            <w:pPr>
              <w:spacing w:after="0" w:line="240" w:lineRule="auto"/>
              <w:jc w:val="center"/>
              <w:rPr>
                <w:rFonts w:eastAsia="Times New Roman" w:cs="Calibri"/>
                <w:color w:val="000000"/>
                <w:sz w:val="24"/>
                <w:szCs w:val="24"/>
                <w:lang w:eastAsia="en-GB"/>
              </w:rPr>
            </w:pPr>
            <w:bookmarkStart w:id="1" w:name="RANGE!A1:C31"/>
            <w:r>
              <w:rPr>
                <w:rFonts w:eastAsia="Times New Roman" w:cs="Calibri"/>
                <w:color w:val="000000"/>
                <w:sz w:val="24"/>
                <w:szCs w:val="24"/>
                <w:lang w:eastAsia="en-GB"/>
              </w:rPr>
              <w:t> </w:t>
            </w:r>
            <w:bookmarkEnd w:id="1"/>
          </w:p>
        </w:tc>
        <w:tc>
          <w:tcPr>
            <w:tcW w:w="1220" w:type="dxa"/>
            <w:gridSpan w:val="2"/>
            <w:tcBorders>
              <w:top w:val="single" w:sz="4" w:space="0" w:color="auto"/>
              <w:left w:val="nil"/>
              <w:bottom w:val="single" w:sz="4" w:space="0" w:color="auto"/>
              <w:right w:val="single" w:sz="4" w:space="0" w:color="auto"/>
            </w:tcBorders>
            <w:vAlign w:val="bottom"/>
            <w:hideMark/>
          </w:tcPr>
          <w:p w14:paraId="7236F58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w:t>
            </w:r>
          </w:p>
        </w:tc>
        <w:tc>
          <w:tcPr>
            <w:tcW w:w="8231" w:type="dxa"/>
            <w:gridSpan w:val="3"/>
            <w:tcBorders>
              <w:top w:val="single" w:sz="4" w:space="0" w:color="auto"/>
              <w:left w:val="nil"/>
              <w:bottom w:val="single" w:sz="4" w:space="0" w:color="auto"/>
              <w:right w:val="single" w:sz="4" w:space="0" w:color="auto"/>
            </w:tcBorders>
            <w:hideMark/>
          </w:tcPr>
          <w:p w14:paraId="4177262C" w14:textId="77777777" w:rsidR="00BF6C93" w:rsidRDefault="00BF6C93">
            <w:pPr>
              <w:spacing w:after="0" w:line="240" w:lineRule="auto"/>
              <w:jc w:val="center"/>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30 requests for greater  development of the whole pathway</w:t>
            </w:r>
          </w:p>
        </w:tc>
      </w:tr>
      <w:tr w:rsidR="00BF6C93" w14:paraId="339EC89B" w14:textId="77777777" w:rsidTr="008261A4">
        <w:trPr>
          <w:trHeight w:val="1500"/>
        </w:trPr>
        <w:tc>
          <w:tcPr>
            <w:tcW w:w="852" w:type="dxa"/>
            <w:tcBorders>
              <w:top w:val="nil"/>
              <w:left w:val="single" w:sz="4" w:space="0" w:color="auto"/>
              <w:bottom w:val="single" w:sz="4" w:space="0" w:color="auto"/>
              <w:right w:val="single" w:sz="4" w:space="0" w:color="auto"/>
            </w:tcBorders>
            <w:noWrap/>
            <w:hideMark/>
          </w:tcPr>
          <w:p w14:paraId="0ADF9BD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w:t>
            </w:r>
          </w:p>
        </w:tc>
        <w:tc>
          <w:tcPr>
            <w:tcW w:w="1220" w:type="dxa"/>
            <w:gridSpan w:val="2"/>
            <w:tcBorders>
              <w:top w:val="nil"/>
              <w:left w:val="nil"/>
              <w:bottom w:val="single" w:sz="4" w:space="0" w:color="auto"/>
              <w:right w:val="single" w:sz="4" w:space="0" w:color="auto"/>
            </w:tcBorders>
            <w:hideMark/>
          </w:tcPr>
          <w:p w14:paraId="3F6B23C2"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5- paragraph 7</w:t>
            </w:r>
          </w:p>
        </w:tc>
        <w:tc>
          <w:tcPr>
            <w:tcW w:w="8231" w:type="dxa"/>
            <w:gridSpan w:val="3"/>
            <w:tcBorders>
              <w:top w:val="nil"/>
              <w:left w:val="nil"/>
              <w:bottom w:val="single" w:sz="4" w:space="0" w:color="auto"/>
              <w:right w:val="single" w:sz="4" w:space="0" w:color="auto"/>
            </w:tcBorders>
            <w:hideMark/>
          </w:tcPr>
          <w:p w14:paraId="0C47A55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The review team felt very strongly that the case for change should be developed further to explicitly consider the whole elective orthopaedic care pathway. We also noted the case for change currently lacked evidence of being informed by an equalities impact assessment. </w:t>
            </w:r>
          </w:p>
        </w:tc>
      </w:tr>
      <w:tr w:rsidR="00BF6C93" w14:paraId="0C779157" w14:textId="77777777" w:rsidTr="008261A4">
        <w:trPr>
          <w:trHeight w:val="1340"/>
        </w:trPr>
        <w:tc>
          <w:tcPr>
            <w:tcW w:w="852" w:type="dxa"/>
            <w:tcBorders>
              <w:top w:val="nil"/>
              <w:left w:val="single" w:sz="4" w:space="0" w:color="auto"/>
              <w:bottom w:val="single" w:sz="4" w:space="0" w:color="auto"/>
              <w:right w:val="single" w:sz="4" w:space="0" w:color="auto"/>
            </w:tcBorders>
            <w:noWrap/>
            <w:hideMark/>
          </w:tcPr>
          <w:p w14:paraId="6D82BF84"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w:t>
            </w:r>
          </w:p>
        </w:tc>
        <w:tc>
          <w:tcPr>
            <w:tcW w:w="1220" w:type="dxa"/>
            <w:gridSpan w:val="2"/>
            <w:tcBorders>
              <w:top w:val="nil"/>
              <w:left w:val="nil"/>
              <w:bottom w:val="single" w:sz="4" w:space="0" w:color="auto"/>
              <w:right w:val="single" w:sz="4" w:space="0" w:color="auto"/>
            </w:tcBorders>
            <w:hideMark/>
          </w:tcPr>
          <w:p w14:paraId="4BFA29A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6- paragraph 1</w:t>
            </w:r>
          </w:p>
        </w:tc>
        <w:tc>
          <w:tcPr>
            <w:tcW w:w="8231" w:type="dxa"/>
            <w:gridSpan w:val="3"/>
            <w:tcBorders>
              <w:top w:val="nil"/>
              <w:left w:val="nil"/>
              <w:bottom w:val="single" w:sz="4" w:space="0" w:color="auto"/>
              <w:right w:val="single" w:sz="4" w:space="0" w:color="auto"/>
            </w:tcBorders>
            <w:hideMark/>
          </w:tcPr>
          <w:p w14:paraId="571CF1D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Clinical engagement to date has mainly involved orthopaedic surgeons from the acute providers and now needs to be broadened to involve clinicians across the pathway, including interdependent services and primary care. </w:t>
            </w:r>
          </w:p>
        </w:tc>
      </w:tr>
      <w:tr w:rsidR="00BF6C93" w14:paraId="50E0FEF8" w14:textId="77777777" w:rsidTr="008261A4">
        <w:trPr>
          <w:trHeight w:val="1790"/>
        </w:trPr>
        <w:tc>
          <w:tcPr>
            <w:tcW w:w="852" w:type="dxa"/>
            <w:tcBorders>
              <w:top w:val="nil"/>
              <w:left w:val="single" w:sz="4" w:space="0" w:color="auto"/>
              <w:bottom w:val="single" w:sz="4" w:space="0" w:color="auto"/>
              <w:right w:val="single" w:sz="4" w:space="0" w:color="auto"/>
            </w:tcBorders>
            <w:noWrap/>
            <w:hideMark/>
          </w:tcPr>
          <w:p w14:paraId="620F7937"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3</w:t>
            </w:r>
          </w:p>
        </w:tc>
        <w:tc>
          <w:tcPr>
            <w:tcW w:w="1220" w:type="dxa"/>
            <w:gridSpan w:val="2"/>
            <w:tcBorders>
              <w:top w:val="nil"/>
              <w:left w:val="nil"/>
              <w:bottom w:val="single" w:sz="4" w:space="0" w:color="auto"/>
              <w:right w:val="single" w:sz="4" w:space="0" w:color="auto"/>
            </w:tcBorders>
            <w:hideMark/>
          </w:tcPr>
          <w:p w14:paraId="06AA1F2E"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6- paragraph 3</w:t>
            </w:r>
          </w:p>
        </w:tc>
        <w:tc>
          <w:tcPr>
            <w:tcW w:w="8231" w:type="dxa"/>
            <w:gridSpan w:val="3"/>
            <w:tcBorders>
              <w:top w:val="nil"/>
              <w:left w:val="nil"/>
              <w:bottom w:val="single" w:sz="4" w:space="0" w:color="auto"/>
              <w:right w:val="single" w:sz="4" w:space="0" w:color="auto"/>
            </w:tcBorders>
            <w:hideMark/>
          </w:tcPr>
          <w:p w14:paraId="477AE647"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As with the case for change the model of care needs to cover the whole pathway, including community services and primary care. Achieving the full range of benefits envisaged will require this approach. For example, variation in availability and provision of community services’ is a concern, which risks inequalities in pathways to and from proposed elective orthopaedic centres.</w:t>
            </w:r>
          </w:p>
        </w:tc>
      </w:tr>
      <w:tr w:rsidR="00BF6C93" w14:paraId="48CECE98" w14:textId="77777777" w:rsidTr="008261A4">
        <w:trPr>
          <w:trHeight w:val="1430"/>
        </w:trPr>
        <w:tc>
          <w:tcPr>
            <w:tcW w:w="852" w:type="dxa"/>
            <w:tcBorders>
              <w:top w:val="nil"/>
              <w:left w:val="single" w:sz="4" w:space="0" w:color="auto"/>
              <w:bottom w:val="single" w:sz="4" w:space="0" w:color="auto"/>
              <w:right w:val="single" w:sz="4" w:space="0" w:color="auto"/>
            </w:tcBorders>
            <w:noWrap/>
            <w:hideMark/>
          </w:tcPr>
          <w:p w14:paraId="62A24D61"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4</w:t>
            </w:r>
          </w:p>
        </w:tc>
        <w:tc>
          <w:tcPr>
            <w:tcW w:w="1220" w:type="dxa"/>
            <w:gridSpan w:val="2"/>
            <w:tcBorders>
              <w:top w:val="nil"/>
              <w:left w:val="nil"/>
              <w:bottom w:val="single" w:sz="4" w:space="0" w:color="auto"/>
              <w:right w:val="single" w:sz="4" w:space="0" w:color="auto"/>
            </w:tcBorders>
            <w:hideMark/>
          </w:tcPr>
          <w:p w14:paraId="077F618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10- paragraph 2</w:t>
            </w:r>
          </w:p>
        </w:tc>
        <w:tc>
          <w:tcPr>
            <w:tcW w:w="8231" w:type="dxa"/>
            <w:gridSpan w:val="3"/>
            <w:tcBorders>
              <w:top w:val="nil"/>
              <w:left w:val="nil"/>
              <w:bottom w:val="single" w:sz="4" w:space="0" w:color="auto"/>
              <w:right w:val="single" w:sz="4" w:space="0" w:color="auto"/>
            </w:tcBorders>
            <w:hideMark/>
          </w:tcPr>
          <w:p w14:paraId="3CCE137F"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The review team believes however that in seeking to make these improvements, the whole planned care pathway needs to be considered</w:t>
            </w:r>
          </w:p>
        </w:tc>
      </w:tr>
      <w:tr w:rsidR="00BF6C93" w14:paraId="41621179" w14:textId="77777777" w:rsidTr="008261A4">
        <w:trPr>
          <w:trHeight w:val="1400"/>
        </w:trPr>
        <w:tc>
          <w:tcPr>
            <w:tcW w:w="852" w:type="dxa"/>
            <w:tcBorders>
              <w:top w:val="nil"/>
              <w:left w:val="single" w:sz="4" w:space="0" w:color="auto"/>
              <w:bottom w:val="single" w:sz="4" w:space="0" w:color="auto"/>
              <w:right w:val="single" w:sz="4" w:space="0" w:color="auto"/>
            </w:tcBorders>
            <w:noWrap/>
            <w:hideMark/>
          </w:tcPr>
          <w:p w14:paraId="40D886CB"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5</w:t>
            </w:r>
          </w:p>
        </w:tc>
        <w:tc>
          <w:tcPr>
            <w:tcW w:w="1220" w:type="dxa"/>
            <w:gridSpan w:val="2"/>
            <w:tcBorders>
              <w:top w:val="nil"/>
              <w:left w:val="nil"/>
              <w:bottom w:val="single" w:sz="4" w:space="0" w:color="auto"/>
              <w:right w:val="single" w:sz="4" w:space="0" w:color="auto"/>
            </w:tcBorders>
            <w:hideMark/>
          </w:tcPr>
          <w:p w14:paraId="4DB7F0F6"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10- paragraph 2</w:t>
            </w:r>
          </w:p>
        </w:tc>
        <w:tc>
          <w:tcPr>
            <w:tcW w:w="8231" w:type="dxa"/>
            <w:gridSpan w:val="3"/>
            <w:tcBorders>
              <w:top w:val="nil"/>
              <w:left w:val="nil"/>
              <w:bottom w:val="single" w:sz="4" w:space="0" w:color="auto"/>
              <w:right w:val="single" w:sz="4" w:space="0" w:color="auto"/>
            </w:tcBorders>
            <w:hideMark/>
          </w:tcPr>
          <w:p w14:paraId="24A3F7B1"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For people on a surgical pathway, what happens before and after surgery can be equally important in achieving the best possible outcome. This view has underpinned our consideration of the case for change and the proposed model of care and our advice.</w:t>
            </w:r>
          </w:p>
        </w:tc>
      </w:tr>
      <w:tr w:rsidR="00BF6C93" w14:paraId="79CB6C8F" w14:textId="77777777" w:rsidTr="008261A4">
        <w:trPr>
          <w:trHeight w:val="1540"/>
        </w:trPr>
        <w:tc>
          <w:tcPr>
            <w:tcW w:w="852" w:type="dxa"/>
            <w:tcBorders>
              <w:top w:val="nil"/>
              <w:left w:val="single" w:sz="4" w:space="0" w:color="auto"/>
              <w:bottom w:val="single" w:sz="4" w:space="0" w:color="auto"/>
              <w:right w:val="single" w:sz="4" w:space="0" w:color="auto"/>
            </w:tcBorders>
            <w:noWrap/>
            <w:hideMark/>
          </w:tcPr>
          <w:p w14:paraId="6A45366E"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6</w:t>
            </w:r>
          </w:p>
        </w:tc>
        <w:tc>
          <w:tcPr>
            <w:tcW w:w="1220" w:type="dxa"/>
            <w:gridSpan w:val="2"/>
            <w:tcBorders>
              <w:top w:val="nil"/>
              <w:left w:val="nil"/>
              <w:bottom w:val="single" w:sz="4" w:space="0" w:color="auto"/>
              <w:right w:val="single" w:sz="4" w:space="0" w:color="auto"/>
            </w:tcBorders>
            <w:hideMark/>
          </w:tcPr>
          <w:p w14:paraId="7C46143E"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11- paragraph 4</w:t>
            </w:r>
          </w:p>
        </w:tc>
        <w:tc>
          <w:tcPr>
            <w:tcW w:w="8231" w:type="dxa"/>
            <w:gridSpan w:val="3"/>
            <w:tcBorders>
              <w:top w:val="nil"/>
              <w:left w:val="nil"/>
              <w:bottom w:val="single" w:sz="4" w:space="0" w:color="auto"/>
              <w:right w:val="single" w:sz="4" w:space="0" w:color="auto"/>
            </w:tcBorders>
            <w:hideMark/>
          </w:tcPr>
          <w:p w14:paraId="27837926"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It is also relevant that the data is more focused on secondary care with a relative paucity of community and primary care information. Analysis of referral variation would be interesting (at a practice and even GP level) and may result in a different emphasis to provision going forward. </w:t>
            </w:r>
          </w:p>
        </w:tc>
      </w:tr>
      <w:tr w:rsidR="00BF6C93" w14:paraId="3B861572" w14:textId="77777777" w:rsidTr="008261A4">
        <w:trPr>
          <w:trHeight w:val="1800"/>
        </w:trPr>
        <w:tc>
          <w:tcPr>
            <w:tcW w:w="852" w:type="dxa"/>
            <w:tcBorders>
              <w:top w:val="nil"/>
              <w:left w:val="single" w:sz="4" w:space="0" w:color="auto"/>
              <w:bottom w:val="single" w:sz="4" w:space="0" w:color="auto"/>
              <w:right w:val="single" w:sz="4" w:space="0" w:color="auto"/>
            </w:tcBorders>
            <w:noWrap/>
            <w:hideMark/>
          </w:tcPr>
          <w:p w14:paraId="0C10AE47"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7</w:t>
            </w:r>
          </w:p>
        </w:tc>
        <w:tc>
          <w:tcPr>
            <w:tcW w:w="1220" w:type="dxa"/>
            <w:gridSpan w:val="2"/>
            <w:tcBorders>
              <w:top w:val="nil"/>
              <w:left w:val="nil"/>
              <w:bottom w:val="single" w:sz="4" w:space="0" w:color="auto"/>
              <w:right w:val="single" w:sz="4" w:space="0" w:color="auto"/>
            </w:tcBorders>
            <w:hideMark/>
          </w:tcPr>
          <w:p w14:paraId="76FA84E0"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13- paragraph 3</w:t>
            </w:r>
          </w:p>
        </w:tc>
        <w:tc>
          <w:tcPr>
            <w:tcW w:w="8231" w:type="dxa"/>
            <w:gridSpan w:val="3"/>
            <w:tcBorders>
              <w:top w:val="nil"/>
              <w:left w:val="nil"/>
              <w:bottom w:val="single" w:sz="4" w:space="0" w:color="auto"/>
              <w:right w:val="single" w:sz="4" w:space="0" w:color="auto"/>
            </w:tcBorders>
            <w:hideMark/>
          </w:tcPr>
          <w:p w14:paraId="03C8703A"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As noted earlier, the overarching case for change focuses on improving quality by consolidating elective orthopaedic surgery and, whilst the case for change acknowledges that this cannot happen in isolation13 it does not currently address these wider pathways issues. Some stakeholders felt this to be a significant gap and the review team shares this view.</w:t>
            </w:r>
          </w:p>
        </w:tc>
      </w:tr>
      <w:tr w:rsidR="00BF6C93" w14:paraId="7219816B" w14:textId="77777777" w:rsidTr="008261A4">
        <w:trPr>
          <w:trHeight w:val="930"/>
        </w:trPr>
        <w:tc>
          <w:tcPr>
            <w:tcW w:w="852" w:type="dxa"/>
            <w:tcBorders>
              <w:top w:val="nil"/>
              <w:left w:val="single" w:sz="4" w:space="0" w:color="auto"/>
              <w:bottom w:val="single" w:sz="4" w:space="0" w:color="auto"/>
              <w:right w:val="single" w:sz="4" w:space="0" w:color="auto"/>
            </w:tcBorders>
            <w:noWrap/>
            <w:hideMark/>
          </w:tcPr>
          <w:p w14:paraId="21F18EFB"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8</w:t>
            </w:r>
          </w:p>
        </w:tc>
        <w:tc>
          <w:tcPr>
            <w:tcW w:w="1220" w:type="dxa"/>
            <w:gridSpan w:val="2"/>
            <w:tcBorders>
              <w:top w:val="nil"/>
              <w:left w:val="nil"/>
              <w:bottom w:val="single" w:sz="4" w:space="0" w:color="auto"/>
              <w:right w:val="single" w:sz="4" w:space="0" w:color="auto"/>
            </w:tcBorders>
            <w:hideMark/>
          </w:tcPr>
          <w:p w14:paraId="4B07017C"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14 -whole page</w:t>
            </w:r>
          </w:p>
        </w:tc>
        <w:tc>
          <w:tcPr>
            <w:tcW w:w="8231" w:type="dxa"/>
            <w:gridSpan w:val="3"/>
            <w:tcBorders>
              <w:top w:val="nil"/>
              <w:left w:val="nil"/>
              <w:bottom w:val="single" w:sz="4" w:space="0" w:color="auto"/>
              <w:right w:val="single" w:sz="4" w:space="0" w:color="auto"/>
            </w:tcBorders>
            <w:hideMark/>
          </w:tcPr>
          <w:p w14:paraId="66D0C4C4"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Differences and variability………..ongoing medical problems exist</w:t>
            </w:r>
          </w:p>
        </w:tc>
      </w:tr>
      <w:tr w:rsidR="00BF6C93" w14:paraId="184769FB" w14:textId="77777777" w:rsidTr="008261A4">
        <w:trPr>
          <w:trHeight w:val="1620"/>
        </w:trPr>
        <w:tc>
          <w:tcPr>
            <w:tcW w:w="852" w:type="dxa"/>
            <w:tcBorders>
              <w:top w:val="nil"/>
              <w:left w:val="single" w:sz="4" w:space="0" w:color="auto"/>
              <w:bottom w:val="single" w:sz="4" w:space="0" w:color="auto"/>
              <w:right w:val="single" w:sz="4" w:space="0" w:color="auto"/>
            </w:tcBorders>
            <w:noWrap/>
            <w:hideMark/>
          </w:tcPr>
          <w:p w14:paraId="5786ED7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9</w:t>
            </w:r>
          </w:p>
        </w:tc>
        <w:tc>
          <w:tcPr>
            <w:tcW w:w="1220" w:type="dxa"/>
            <w:gridSpan w:val="2"/>
            <w:tcBorders>
              <w:top w:val="nil"/>
              <w:left w:val="nil"/>
              <w:bottom w:val="single" w:sz="4" w:space="0" w:color="auto"/>
              <w:right w:val="single" w:sz="4" w:space="0" w:color="auto"/>
            </w:tcBorders>
            <w:hideMark/>
          </w:tcPr>
          <w:p w14:paraId="6E51CBEB"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page15- third bullet point</w:t>
            </w:r>
          </w:p>
        </w:tc>
        <w:tc>
          <w:tcPr>
            <w:tcW w:w="8231" w:type="dxa"/>
            <w:gridSpan w:val="3"/>
            <w:tcBorders>
              <w:top w:val="nil"/>
              <w:left w:val="nil"/>
              <w:bottom w:val="single" w:sz="4" w:space="0" w:color="auto"/>
              <w:right w:val="single" w:sz="4" w:space="0" w:color="auto"/>
            </w:tcBorders>
            <w:hideMark/>
          </w:tcPr>
          <w:p w14:paraId="5308EBB5"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Changes impacting on primary care (and their feasibility) were not specified, for example any changes in volume of post-operative wound care or dressings that might arise from the fact that post discharge travel arrangements could make this more attractive. </w:t>
            </w:r>
          </w:p>
        </w:tc>
      </w:tr>
      <w:tr w:rsidR="00BF6C93" w14:paraId="47FBF866" w14:textId="77777777" w:rsidTr="008261A4">
        <w:trPr>
          <w:trHeight w:val="2120"/>
        </w:trPr>
        <w:tc>
          <w:tcPr>
            <w:tcW w:w="852" w:type="dxa"/>
            <w:tcBorders>
              <w:top w:val="nil"/>
              <w:left w:val="single" w:sz="4" w:space="0" w:color="auto"/>
              <w:bottom w:val="single" w:sz="4" w:space="0" w:color="auto"/>
              <w:right w:val="single" w:sz="4" w:space="0" w:color="auto"/>
            </w:tcBorders>
            <w:noWrap/>
            <w:hideMark/>
          </w:tcPr>
          <w:p w14:paraId="06B972E4"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10</w:t>
            </w:r>
          </w:p>
        </w:tc>
        <w:tc>
          <w:tcPr>
            <w:tcW w:w="1220" w:type="dxa"/>
            <w:gridSpan w:val="2"/>
            <w:tcBorders>
              <w:top w:val="nil"/>
              <w:left w:val="nil"/>
              <w:bottom w:val="single" w:sz="4" w:space="0" w:color="auto"/>
              <w:right w:val="single" w:sz="4" w:space="0" w:color="auto"/>
            </w:tcBorders>
            <w:hideMark/>
          </w:tcPr>
          <w:p w14:paraId="13794ADB"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15- paragraph 2</w:t>
            </w:r>
          </w:p>
        </w:tc>
        <w:tc>
          <w:tcPr>
            <w:tcW w:w="8231" w:type="dxa"/>
            <w:gridSpan w:val="3"/>
            <w:tcBorders>
              <w:top w:val="nil"/>
              <w:left w:val="nil"/>
              <w:bottom w:val="single" w:sz="4" w:space="0" w:color="auto"/>
              <w:right w:val="single" w:sz="4" w:space="0" w:color="auto"/>
            </w:tcBorders>
            <w:hideMark/>
          </w:tcPr>
          <w:p w14:paraId="2F39659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Other clinicians we met have had very little involvement in the work so far and whilst agreeing with the case for addressing current pressures, and the principles of consolidation, they felt there were other areas of the pathway (noted above) that would need to be addressed alongside any changes to inpatient care in order to achieve the full range of benefits envisaged.  </w:t>
            </w:r>
          </w:p>
        </w:tc>
      </w:tr>
      <w:tr w:rsidR="00BF6C93" w14:paraId="2EB1FD1E" w14:textId="77777777" w:rsidTr="008261A4">
        <w:trPr>
          <w:trHeight w:val="1200"/>
        </w:trPr>
        <w:tc>
          <w:tcPr>
            <w:tcW w:w="852" w:type="dxa"/>
            <w:tcBorders>
              <w:top w:val="nil"/>
              <w:left w:val="single" w:sz="4" w:space="0" w:color="auto"/>
              <w:bottom w:val="single" w:sz="4" w:space="0" w:color="auto"/>
              <w:right w:val="single" w:sz="4" w:space="0" w:color="auto"/>
            </w:tcBorders>
            <w:noWrap/>
            <w:hideMark/>
          </w:tcPr>
          <w:p w14:paraId="28753C05"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11</w:t>
            </w:r>
          </w:p>
        </w:tc>
        <w:tc>
          <w:tcPr>
            <w:tcW w:w="1220" w:type="dxa"/>
            <w:gridSpan w:val="2"/>
            <w:tcBorders>
              <w:top w:val="nil"/>
              <w:left w:val="nil"/>
              <w:bottom w:val="single" w:sz="4" w:space="0" w:color="auto"/>
              <w:right w:val="single" w:sz="4" w:space="0" w:color="auto"/>
            </w:tcBorders>
            <w:hideMark/>
          </w:tcPr>
          <w:p w14:paraId="348C52E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15- paragraph 3</w:t>
            </w:r>
          </w:p>
        </w:tc>
        <w:tc>
          <w:tcPr>
            <w:tcW w:w="8231" w:type="dxa"/>
            <w:gridSpan w:val="3"/>
            <w:tcBorders>
              <w:top w:val="nil"/>
              <w:left w:val="nil"/>
              <w:bottom w:val="single" w:sz="4" w:space="0" w:color="auto"/>
              <w:right w:val="single" w:sz="4" w:space="0" w:color="auto"/>
            </w:tcBorders>
            <w:hideMark/>
          </w:tcPr>
          <w:p w14:paraId="0656100A"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Particular concerns related to the lack of reference to local services in the community including links to social care and primary care. </w:t>
            </w:r>
          </w:p>
        </w:tc>
      </w:tr>
      <w:tr w:rsidR="00BF6C93" w14:paraId="5E28AEE8" w14:textId="77777777" w:rsidTr="008261A4">
        <w:trPr>
          <w:trHeight w:val="3160"/>
        </w:trPr>
        <w:tc>
          <w:tcPr>
            <w:tcW w:w="852" w:type="dxa"/>
            <w:tcBorders>
              <w:top w:val="nil"/>
              <w:left w:val="single" w:sz="4" w:space="0" w:color="auto"/>
              <w:bottom w:val="single" w:sz="4" w:space="0" w:color="auto"/>
              <w:right w:val="single" w:sz="4" w:space="0" w:color="auto"/>
            </w:tcBorders>
            <w:noWrap/>
            <w:hideMark/>
          </w:tcPr>
          <w:p w14:paraId="7D482530"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12</w:t>
            </w:r>
          </w:p>
        </w:tc>
        <w:tc>
          <w:tcPr>
            <w:tcW w:w="1220" w:type="dxa"/>
            <w:gridSpan w:val="2"/>
            <w:tcBorders>
              <w:top w:val="nil"/>
              <w:left w:val="nil"/>
              <w:bottom w:val="single" w:sz="4" w:space="0" w:color="auto"/>
              <w:right w:val="single" w:sz="4" w:space="0" w:color="auto"/>
            </w:tcBorders>
            <w:hideMark/>
          </w:tcPr>
          <w:p w14:paraId="53C7929B"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17- paragraph 6</w:t>
            </w:r>
          </w:p>
        </w:tc>
        <w:tc>
          <w:tcPr>
            <w:tcW w:w="8231" w:type="dxa"/>
            <w:gridSpan w:val="3"/>
            <w:tcBorders>
              <w:top w:val="nil"/>
              <w:left w:val="nil"/>
              <w:bottom w:val="single" w:sz="4" w:space="0" w:color="auto"/>
              <w:right w:val="single" w:sz="4" w:space="0" w:color="auto"/>
            </w:tcBorders>
            <w:hideMark/>
          </w:tcPr>
          <w:p w14:paraId="2A501B01"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Although there clearly are challenges within the pathway in addition to those identified in the peri-operative stage, the case for change has not yet considered them. Tackling the current variation in approaches, protocols and processes for elective orthopaedic care, particularly within community services across south east London, is a key area. The case for change does acknowledge this16, although it is not clear how it will be taken forward. Failure to do this risks limiting benefits realised from improvements to the inpatient part of the pathway, or creating greater inequality in access and provision of care. Increasing standardisation will need a collaborative approach and should seek to maximise benefit from the many examples of good practice that already exist.  </w:t>
            </w:r>
          </w:p>
        </w:tc>
      </w:tr>
      <w:tr w:rsidR="00BF6C93" w14:paraId="22B8CC1E" w14:textId="77777777" w:rsidTr="008261A4">
        <w:trPr>
          <w:trHeight w:val="1330"/>
        </w:trPr>
        <w:tc>
          <w:tcPr>
            <w:tcW w:w="852" w:type="dxa"/>
            <w:tcBorders>
              <w:top w:val="nil"/>
              <w:left w:val="single" w:sz="4" w:space="0" w:color="auto"/>
              <w:bottom w:val="single" w:sz="4" w:space="0" w:color="auto"/>
              <w:right w:val="single" w:sz="4" w:space="0" w:color="auto"/>
            </w:tcBorders>
            <w:noWrap/>
            <w:hideMark/>
          </w:tcPr>
          <w:p w14:paraId="59CAE74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13</w:t>
            </w:r>
          </w:p>
        </w:tc>
        <w:tc>
          <w:tcPr>
            <w:tcW w:w="1220" w:type="dxa"/>
            <w:gridSpan w:val="2"/>
            <w:tcBorders>
              <w:top w:val="nil"/>
              <w:left w:val="nil"/>
              <w:bottom w:val="single" w:sz="4" w:space="0" w:color="auto"/>
              <w:right w:val="single" w:sz="4" w:space="0" w:color="auto"/>
            </w:tcBorders>
            <w:hideMark/>
          </w:tcPr>
          <w:p w14:paraId="581859D3"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page18- paragraph 3</w:t>
            </w:r>
          </w:p>
        </w:tc>
        <w:tc>
          <w:tcPr>
            <w:tcW w:w="8231" w:type="dxa"/>
            <w:gridSpan w:val="3"/>
            <w:tcBorders>
              <w:top w:val="nil"/>
              <w:left w:val="nil"/>
              <w:bottom w:val="single" w:sz="4" w:space="0" w:color="auto"/>
              <w:right w:val="single" w:sz="4" w:space="0" w:color="auto"/>
            </w:tcBorders>
            <w:hideMark/>
          </w:tcPr>
          <w:p w14:paraId="393AE039"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As with the case for change, the model does not currently cover the whole pathway of care. The majority of stakeholders felt it was essential that it does in order to address current challenges in community provision noted earlier</w:t>
            </w:r>
          </w:p>
        </w:tc>
      </w:tr>
      <w:tr w:rsidR="00BF6C93" w14:paraId="65361143" w14:textId="77777777" w:rsidTr="008261A4">
        <w:trPr>
          <w:trHeight w:val="2240"/>
        </w:trPr>
        <w:tc>
          <w:tcPr>
            <w:tcW w:w="852" w:type="dxa"/>
            <w:tcBorders>
              <w:top w:val="nil"/>
              <w:left w:val="single" w:sz="4" w:space="0" w:color="auto"/>
              <w:bottom w:val="single" w:sz="4" w:space="0" w:color="auto"/>
              <w:right w:val="single" w:sz="4" w:space="0" w:color="auto"/>
            </w:tcBorders>
            <w:noWrap/>
            <w:hideMark/>
          </w:tcPr>
          <w:p w14:paraId="267B5379"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14</w:t>
            </w:r>
          </w:p>
        </w:tc>
        <w:tc>
          <w:tcPr>
            <w:tcW w:w="1220" w:type="dxa"/>
            <w:gridSpan w:val="2"/>
            <w:tcBorders>
              <w:top w:val="nil"/>
              <w:left w:val="nil"/>
              <w:bottom w:val="single" w:sz="4" w:space="0" w:color="auto"/>
              <w:right w:val="single" w:sz="4" w:space="0" w:color="auto"/>
            </w:tcBorders>
            <w:hideMark/>
          </w:tcPr>
          <w:p w14:paraId="643E01C0"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page18 bullet points 7 and 8</w:t>
            </w:r>
          </w:p>
        </w:tc>
        <w:tc>
          <w:tcPr>
            <w:tcW w:w="8231" w:type="dxa"/>
            <w:gridSpan w:val="3"/>
            <w:tcBorders>
              <w:top w:val="nil"/>
              <w:left w:val="nil"/>
              <w:bottom w:val="single" w:sz="4" w:space="0" w:color="auto"/>
              <w:right w:val="single" w:sz="4" w:space="0" w:color="auto"/>
            </w:tcBorders>
            <w:hideMark/>
          </w:tcPr>
          <w:p w14:paraId="39D616D1"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 If constraints elsewhere in the pathway are not addressed, improvements in the effectiveness and efficiency of inpatient care (increasing the flow of patients through proposed centres and reducing length of stay) may not be achieved. </w:t>
            </w:r>
          </w:p>
        </w:tc>
      </w:tr>
      <w:tr w:rsidR="00BF6C93" w14:paraId="0F672A21" w14:textId="77777777" w:rsidTr="008261A4">
        <w:trPr>
          <w:trHeight w:val="1900"/>
        </w:trPr>
        <w:tc>
          <w:tcPr>
            <w:tcW w:w="852" w:type="dxa"/>
            <w:tcBorders>
              <w:top w:val="nil"/>
              <w:left w:val="single" w:sz="4" w:space="0" w:color="auto"/>
              <w:bottom w:val="single" w:sz="4" w:space="0" w:color="auto"/>
              <w:right w:val="single" w:sz="4" w:space="0" w:color="auto"/>
            </w:tcBorders>
            <w:noWrap/>
            <w:hideMark/>
          </w:tcPr>
          <w:p w14:paraId="6641202A"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15</w:t>
            </w:r>
          </w:p>
        </w:tc>
        <w:tc>
          <w:tcPr>
            <w:tcW w:w="1220" w:type="dxa"/>
            <w:gridSpan w:val="2"/>
            <w:tcBorders>
              <w:top w:val="nil"/>
              <w:left w:val="nil"/>
              <w:bottom w:val="single" w:sz="4" w:space="0" w:color="auto"/>
              <w:right w:val="single" w:sz="4" w:space="0" w:color="auto"/>
            </w:tcBorders>
            <w:hideMark/>
          </w:tcPr>
          <w:p w14:paraId="6B7BC984"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21- paragraph 22</w:t>
            </w:r>
          </w:p>
        </w:tc>
        <w:tc>
          <w:tcPr>
            <w:tcW w:w="8231" w:type="dxa"/>
            <w:gridSpan w:val="3"/>
            <w:tcBorders>
              <w:top w:val="nil"/>
              <w:left w:val="nil"/>
              <w:bottom w:val="single" w:sz="4" w:space="0" w:color="auto"/>
              <w:right w:val="single" w:sz="4" w:space="0" w:color="auto"/>
            </w:tcBorders>
            <w:hideMark/>
          </w:tcPr>
          <w:p w14:paraId="06EEBA21"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Achieving greater consistency in community services across the six CCGs and boroughs seems critical to such a model working effectively and is likely to be challenging, however limiting these to this specific patient group may prove helpful in the long-term development of these issues.  Developing the model further to encompass the whole pathway of care would help to address this, including the model of rehabilitation. </w:t>
            </w:r>
          </w:p>
        </w:tc>
      </w:tr>
      <w:tr w:rsidR="00BF6C93" w14:paraId="7173B82B" w14:textId="77777777" w:rsidTr="008261A4">
        <w:trPr>
          <w:trHeight w:val="1700"/>
        </w:trPr>
        <w:tc>
          <w:tcPr>
            <w:tcW w:w="852" w:type="dxa"/>
            <w:tcBorders>
              <w:top w:val="nil"/>
              <w:left w:val="single" w:sz="4" w:space="0" w:color="auto"/>
              <w:bottom w:val="single" w:sz="4" w:space="0" w:color="auto"/>
              <w:right w:val="single" w:sz="4" w:space="0" w:color="auto"/>
            </w:tcBorders>
            <w:noWrap/>
            <w:hideMark/>
          </w:tcPr>
          <w:p w14:paraId="03C7F8E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16</w:t>
            </w:r>
          </w:p>
        </w:tc>
        <w:tc>
          <w:tcPr>
            <w:tcW w:w="1220" w:type="dxa"/>
            <w:gridSpan w:val="2"/>
            <w:tcBorders>
              <w:top w:val="nil"/>
              <w:left w:val="nil"/>
              <w:bottom w:val="single" w:sz="4" w:space="0" w:color="auto"/>
              <w:right w:val="single" w:sz="4" w:space="0" w:color="auto"/>
            </w:tcBorders>
            <w:hideMark/>
          </w:tcPr>
          <w:p w14:paraId="29A553C5"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page22- bullet points 1 and 2</w:t>
            </w:r>
          </w:p>
        </w:tc>
        <w:tc>
          <w:tcPr>
            <w:tcW w:w="8231" w:type="dxa"/>
            <w:gridSpan w:val="3"/>
            <w:tcBorders>
              <w:top w:val="nil"/>
              <w:left w:val="nil"/>
              <w:bottom w:val="single" w:sz="4" w:space="0" w:color="auto"/>
              <w:right w:val="single" w:sz="4" w:space="0" w:color="auto"/>
            </w:tcBorders>
            <w:hideMark/>
          </w:tcPr>
          <w:p w14:paraId="468B84D5"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Improvements to the inpatient part of the pathway creates new pressures and challenges elsewhere in the pathway, including the risk that inequalities could increase · The benefits envisaged are not achieved because the wider pathway changes needed to support them do not take place </w:t>
            </w:r>
          </w:p>
        </w:tc>
      </w:tr>
      <w:tr w:rsidR="00BF6C93" w14:paraId="758B261E" w14:textId="77777777" w:rsidTr="008261A4">
        <w:trPr>
          <w:trHeight w:val="1590"/>
        </w:trPr>
        <w:tc>
          <w:tcPr>
            <w:tcW w:w="852" w:type="dxa"/>
            <w:tcBorders>
              <w:top w:val="nil"/>
              <w:left w:val="single" w:sz="4" w:space="0" w:color="auto"/>
              <w:bottom w:val="single" w:sz="4" w:space="0" w:color="auto"/>
              <w:right w:val="single" w:sz="4" w:space="0" w:color="auto"/>
            </w:tcBorders>
            <w:noWrap/>
            <w:hideMark/>
          </w:tcPr>
          <w:p w14:paraId="7F6D2CD3"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17</w:t>
            </w:r>
          </w:p>
        </w:tc>
        <w:tc>
          <w:tcPr>
            <w:tcW w:w="1220" w:type="dxa"/>
            <w:gridSpan w:val="2"/>
            <w:tcBorders>
              <w:top w:val="nil"/>
              <w:left w:val="nil"/>
              <w:bottom w:val="single" w:sz="4" w:space="0" w:color="auto"/>
              <w:right w:val="single" w:sz="4" w:space="0" w:color="auto"/>
            </w:tcBorders>
            <w:hideMark/>
          </w:tcPr>
          <w:p w14:paraId="1A5D8760"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page22- paragraph 2</w:t>
            </w:r>
          </w:p>
        </w:tc>
        <w:tc>
          <w:tcPr>
            <w:tcW w:w="8231" w:type="dxa"/>
            <w:gridSpan w:val="3"/>
            <w:tcBorders>
              <w:top w:val="nil"/>
              <w:left w:val="nil"/>
              <w:bottom w:val="single" w:sz="4" w:space="0" w:color="auto"/>
              <w:right w:val="single" w:sz="4" w:space="0" w:color="auto"/>
            </w:tcBorders>
            <w:hideMark/>
          </w:tcPr>
          <w:p w14:paraId="111F36EF"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Particular issues include the need for greater standardisation; difficulties in repatriating patients to local hospitals and discharge into community services; provision of timely, pro-active rehabilitation, including specialist rehabilitation in the community and ensuring effective integration with primary care and social care. </w:t>
            </w:r>
          </w:p>
        </w:tc>
      </w:tr>
      <w:tr w:rsidR="00BF6C93" w14:paraId="7A2C7C23" w14:textId="77777777" w:rsidTr="008261A4">
        <w:trPr>
          <w:trHeight w:val="1330"/>
        </w:trPr>
        <w:tc>
          <w:tcPr>
            <w:tcW w:w="852" w:type="dxa"/>
            <w:tcBorders>
              <w:top w:val="nil"/>
              <w:left w:val="single" w:sz="4" w:space="0" w:color="auto"/>
              <w:bottom w:val="single" w:sz="4" w:space="0" w:color="auto"/>
              <w:right w:val="single" w:sz="4" w:space="0" w:color="auto"/>
            </w:tcBorders>
            <w:noWrap/>
            <w:hideMark/>
          </w:tcPr>
          <w:p w14:paraId="76424F0C"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18</w:t>
            </w:r>
          </w:p>
        </w:tc>
        <w:tc>
          <w:tcPr>
            <w:tcW w:w="1220" w:type="dxa"/>
            <w:gridSpan w:val="2"/>
            <w:tcBorders>
              <w:top w:val="nil"/>
              <w:left w:val="nil"/>
              <w:bottom w:val="single" w:sz="4" w:space="0" w:color="auto"/>
              <w:right w:val="single" w:sz="4" w:space="0" w:color="auto"/>
            </w:tcBorders>
            <w:hideMark/>
          </w:tcPr>
          <w:p w14:paraId="68DF6CD4"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28- paragraph 5</w:t>
            </w:r>
          </w:p>
        </w:tc>
        <w:tc>
          <w:tcPr>
            <w:tcW w:w="8231" w:type="dxa"/>
            <w:gridSpan w:val="3"/>
            <w:tcBorders>
              <w:top w:val="nil"/>
              <w:left w:val="nil"/>
              <w:bottom w:val="single" w:sz="4" w:space="0" w:color="auto"/>
              <w:right w:val="single" w:sz="4" w:space="0" w:color="auto"/>
            </w:tcBorders>
            <w:hideMark/>
          </w:tcPr>
          <w:p w14:paraId="5E5EE964"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The proposed model of care for elective orthopaedic inpatient services would have implications for other areas of orthopaedic care and for other services with which orthopaedics has an interdependence or an interface. Some of these implications have the potential to increase risk</w:t>
            </w:r>
          </w:p>
        </w:tc>
      </w:tr>
      <w:tr w:rsidR="00BF6C93" w14:paraId="0B8483A5" w14:textId="77777777" w:rsidTr="008261A4">
        <w:trPr>
          <w:trHeight w:val="2530"/>
        </w:trPr>
        <w:tc>
          <w:tcPr>
            <w:tcW w:w="852" w:type="dxa"/>
            <w:tcBorders>
              <w:top w:val="nil"/>
              <w:left w:val="single" w:sz="4" w:space="0" w:color="auto"/>
              <w:bottom w:val="single" w:sz="4" w:space="0" w:color="auto"/>
              <w:right w:val="single" w:sz="4" w:space="0" w:color="auto"/>
            </w:tcBorders>
            <w:noWrap/>
            <w:hideMark/>
          </w:tcPr>
          <w:p w14:paraId="17A3509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19</w:t>
            </w:r>
          </w:p>
        </w:tc>
        <w:tc>
          <w:tcPr>
            <w:tcW w:w="1220" w:type="dxa"/>
            <w:gridSpan w:val="2"/>
            <w:tcBorders>
              <w:top w:val="nil"/>
              <w:left w:val="nil"/>
              <w:bottom w:val="single" w:sz="4" w:space="0" w:color="auto"/>
              <w:right w:val="single" w:sz="4" w:space="0" w:color="auto"/>
            </w:tcBorders>
            <w:hideMark/>
          </w:tcPr>
          <w:p w14:paraId="6F586149"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29- paragraph 6</w:t>
            </w:r>
          </w:p>
        </w:tc>
        <w:tc>
          <w:tcPr>
            <w:tcW w:w="8231" w:type="dxa"/>
            <w:gridSpan w:val="3"/>
            <w:tcBorders>
              <w:top w:val="nil"/>
              <w:left w:val="nil"/>
              <w:bottom w:val="single" w:sz="4" w:space="0" w:color="auto"/>
              <w:right w:val="single" w:sz="4" w:space="0" w:color="auto"/>
            </w:tcBorders>
            <w:hideMark/>
          </w:tcPr>
          <w:p w14:paraId="2C992DF3"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However, we reiterate again the importance of considering the whole elective care pathway; the peri-operative stage of the pathway cannot be considered in isolation. For example, the model of care does have the potential to reduce length of stay for an elective admission, however the quality and effectiveness of pre and post-operative care are as important in achieving the best overall experience and outcome for patients. The full benefits that the case for change is seeking may not be achieved without taking this approach.   </w:t>
            </w:r>
          </w:p>
        </w:tc>
      </w:tr>
      <w:tr w:rsidR="00BF6C93" w14:paraId="17F47C9B" w14:textId="77777777" w:rsidTr="008261A4">
        <w:trPr>
          <w:trHeight w:val="2410"/>
        </w:trPr>
        <w:tc>
          <w:tcPr>
            <w:tcW w:w="852" w:type="dxa"/>
            <w:tcBorders>
              <w:top w:val="nil"/>
              <w:left w:val="single" w:sz="4" w:space="0" w:color="auto"/>
              <w:bottom w:val="single" w:sz="4" w:space="0" w:color="auto"/>
              <w:right w:val="single" w:sz="4" w:space="0" w:color="auto"/>
            </w:tcBorders>
            <w:noWrap/>
            <w:hideMark/>
          </w:tcPr>
          <w:p w14:paraId="75BB058A"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20</w:t>
            </w:r>
          </w:p>
        </w:tc>
        <w:tc>
          <w:tcPr>
            <w:tcW w:w="1220" w:type="dxa"/>
            <w:gridSpan w:val="2"/>
            <w:tcBorders>
              <w:top w:val="nil"/>
              <w:left w:val="nil"/>
              <w:bottom w:val="single" w:sz="4" w:space="0" w:color="auto"/>
              <w:right w:val="single" w:sz="4" w:space="0" w:color="auto"/>
            </w:tcBorders>
            <w:hideMark/>
          </w:tcPr>
          <w:p w14:paraId="22D06C9B"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30- paragraph 5</w:t>
            </w:r>
          </w:p>
        </w:tc>
        <w:tc>
          <w:tcPr>
            <w:tcW w:w="8231" w:type="dxa"/>
            <w:gridSpan w:val="3"/>
            <w:tcBorders>
              <w:top w:val="nil"/>
              <w:left w:val="nil"/>
              <w:bottom w:val="single" w:sz="4" w:space="0" w:color="auto"/>
              <w:right w:val="single" w:sz="4" w:space="0" w:color="auto"/>
            </w:tcBorders>
            <w:hideMark/>
          </w:tcPr>
          <w:p w14:paraId="30E33852"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Work to deliver some of the improvement opportunities identified in GIRFT are not necessarily dependent on the establishment of an EOC and could begin now. For example, networking across current services to begin introducing greater standardisation across the pathway. Making progress in advance, especially in achieving greater consistency within community services and strengthening education programmes for GPs, could facilitate transition to the proposed model of care if established and deliver earlier gains.   </w:t>
            </w:r>
          </w:p>
        </w:tc>
      </w:tr>
      <w:tr w:rsidR="00BF6C93" w14:paraId="3F75F3F0" w14:textId="77777777" w:rsidTr="008261A4">
        <w:trPr>
          <w:trHeight w:val="890"/>
        </w:trPr>
        <w:tc>
          <w:tcPr>
            <w:tcW w:w="852" w:type="dxa"/>
            <w:tcBorders>
              <w:top w:val="nil"/>
              <w:left w:val="single" w:sz="4" w:space="0" w:color="auto"/>
              <w:bottom w:val="single" w:sz="4" w:space="0" w:color="auto"/>
              <w:right w:val="single" w:sz="4" w:space="0" w:color="auto"/>
            </w:tcBorders>
            <w:noWrap/>
            <w:hideMark/>
          </w:tcPr>
          <w:p w14:paraId="195CFF7B"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21</w:t>
            </w:r>
          </w:p>
        </w:tc>
        <w:tc>
          <w:tcPr>
            <w:tcW w:w="1220" w:type="dxa"/>
            <w:gridSpan w:val="2"/>
            <w:tcBorders>
              <w:top w:val="nil"/>
              <w:left w:val="nil"/>
              <w:bottom w:val="single" w:sz="4" w:space="0" w:color="auto"/>
              <w:right w:val="single" w:sz="4" w:space="0" w:color="auto"/>
            </w:tcBorders>
            <w:hideMark/>
          </w:tcPr>
          <w:p w14:paraId="1FC1DBD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31- bullet point 1</w:t>
            </w:r>
          </w:p>
        </w:tc>
        <w:tc>
          <w:tcPr>
            <w:tcW w:w="8231" w:type="dxa"/>
            <w:gridSpan w:val="3"/>
            <w:tcBorders>
              <w:top w:val="nil"/>
              <w:left w:val="nil"/>
              <w:bottom w:val="single" w:sz="4" w:space="0" w:color="auto"/>
              <w:right w:val="single" w:sz="4" w:space="0" w:color="auto"/>
            </w:tcBorders>
            <w:hideMark/>
          </w:tcPr>
          <w:p w14:paraId="6B1C8061"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Addressing current differences in processes, approaches and services available within community services is a key area. If not tackled, this could contribute to inequalities.</w:t>
            </w:r>
          </w:p>
        </w:tc>
      </w:tr>
      <w:tr w:rsidR="00BF6C93" w14:paraId="7DCD081F" w14:textId="77777777" w:rsidTr="008261A4">
        <w:trPr>
          <w:trHeight w:val="1140"/>
        </w:trPr>
        <w:tc>
          <w:tcPr>
            <w:tcW w:w="852" w:type="dxa"/>
            <w:tcBorders>
              <w:top w:val="nil"/>
              <w:left w:val="single" w:sz="4" w:space="0" w:color="auto"/>
              <w:bottom w:val="single" w:sz="4" w:space="0" w:color="auto"/>
              <w:right w:val="single" w:sz="4" w:space="0" w:color="auto"/>
            </w:tcBorders>
            <w:noWrap/>
            <w:hideMark/>
          </w:tcPr>
          <w:p w14:paraId="2B1C0AD7"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22</w:t>
            </w:r>
          </w:p>
        </w:tc>
        <w:tc>
          <w:tcPr>
            <w:tcW w:w="1220" w:type="dxa"/>
            <w:gridSpan w:val="2"/>
            <w:tcBorders>
              <w:top w:val="nil"/>
              <w:left w:val="nil"/>
              <w:bottom w:val="single" w:sz="4" w:space="0" w:color="auto"/>
              <w:right w:val="single" w:sz="4" w:space="0" w:color="auto"/>
            </w:tcBorders>
            <w:hideMark/>
          </w:tcPr>
          <w:p w14:paraId="6DD8ACF9"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31- bullet point 5</w:t>
            </w:r>
          </w:p>
        </w:tc>
        <w:tc>
          <w:tcPr>
            <w:tcW w:w="8231" w:type="dxa"/>
            <w:gridSpan w:val="3"/>
            <w:tcBorders>
              <w:top w:val="nil"/>
              <w:left w:val="nil"/>
              <w:bottom w:val="single" w:sz="4" w:space="0" w:color="auto"/>
              <w:right w:val="single" w:sz="4" w:space="0" w:color="auto"/>
            </w:tcBorders>
            <w:hideMark/>
          </w:tcPr>
          <w:p w14:paraId="2C70C89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A sector wide opportunity for a collaborative approach to improvement and education should be jointly developed integrating both primary and secondary care. This is essential, as demand management is mostly within the gift of primary care. </w:t>
            </w:r>
          </w:p>
        </w:tc>
      </w:tr>
      <w:tr w:rsidR="00BF6C93" w14:paraId="1D0243E3" w14:textId="77777777" w:rsidTr="008261A4">
        <w:trPr>
          <w:trHeight w:val="1640"/>
        </w:trPr>
        <w:tc>
          <w:tcPr>
            <w:tcW w:w="852" w:type="dxa"/>
            <w:tcBorders>
              <w:top w:val="nil"/>
              <w:left w:val="single" w:sz="4" w:space="0" w:color="auto"/>
              <w:bottom w:val="single" w:sz="4" w:space="0" w:color="auto"/>
              <w:right w:val="single" w:sz="4" w:space="0" w:color="auto"/>
            </w:tcBorders>
            <w:noWrap/>
            <w:hideMark/>
          </w:tcPr>
          <w:p w14:paraId="3DBD8C57"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23</w:t>
            </w:r>
          </w:p>
        </w:tc>
        <w:tc>
          <w:tcPr>
            <w:tcW w:w="1220" w:type="dxa"/>
            <w:gridSpan w:val="2"/>
            <w:tcBorders>
              <w:top w:val="nil"/>
              <w:left w:val="nil"/>
              <w:bottom w:val="single" w:sz="4" w:space="0" w:color="auto"/>
              <w:right w:val="single" w:sz="4" w:space="0" w:color="auto"/>
            </w:tcBorders>
            <w:hideMark/>
          </w:tcPr>
          <w:p w14:paraId="2BBDC1D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32- bullet point 2</w:t>
            </w:r>
          </w:p>
        </w:tc>
        <w:tc>
          <w:tcPr>
            <w:tcW w:w="8231" w:type="dxa"/>
            <w:gridSpan w:val="3"/>
            <w:tcBorders>
              <w:top w:val="nil"/>
              <w:left w:val="nil"/>
              <w:bottom w:val="single" w:sz="4" w:space="0" w:color="auto"/>
              <w:right w:val="single" w:sz="4" w:space="0" w:color="auto"/>
            </w:tcBorders>
            <w:hideMark/>
          </w:tcPr>
          <w:p w14:paraId="29C245F3"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Outcomes could be improved by increasing standardisation/reducing variation; introducing greater consistency in processes and approaches based on agreement about best practice and by addressing ALL aspects of the pathway including pre and post-operative care </w:t>
            </w:r>
          </w:p>
        </w:tc>
      </w:tr>
      <w:tr w:rsidR="00BF6C93" w14:paraId="4DBC3F31" w14:textId="77777777" w:rsidTr="008261A4">
        <w:trPr>
          <w:trHeight w:val="2140"/>
        </w:trPr>
        <w:tc>
          <w:tcPr>
            <w:tcW w:w="852" w:type="dxa"/>
            <w:tcBorders>
              <w:top w:val="nil"/>
              <w:left w:val="single" w:sz="4" w:space="0" w:color="auto"/>
              <w:bottom w:val="single" w:sz="4" w:space="0" w:color="auto"/>
              <w:right w:val="single" w:sz="4" w:space="0" w:color="auto"/>
            </w:tcBorders>
            <w:noWrap/>
            <w:hideMark/>
          </w:tcPr>
          <w:p w14:paraId="7AF30F50"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24</w:t>
            </w:r>
          </w:p>
        </w:tc>
        <w:tc>
          <w:tcPr>
            <w:tcW w:w="1220" w:type="dxa"/>
            <w:gridSpan w:val="2"/>
            <w:tcBorders>
              <w:top w:val="nil"/>
              <w:left w:val="nil"/>
              <w:bottom w:val="single" w:sz="4" w:space="0" w:color="auto"/>
              <w:right w:val="single" w:sz="4" w:space="0" w:color="auto"/>
            </w:tcBorders>
            <w:hideMark/>
          </w:tcPr>
          <w:p w14:paraId="599F6493"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34 -point 9</w:t>
            </w:r>
          </w:p>
        </w:tc>
        <w:tc>
          <w:tcPr>
            <w:tcW w:w="8231" w:type="dxa"/>
            <w:gridSpan w:val="3"/>
            <w:tcBorders>
              <w:top w:val="nil"/>
              <w:left w:val="nil"/>
              <w:bottom w:val="single" w:sz="4" w:space="0" w:color="auto"/>
              <w:right w:val="single" w:sz="4" w:space="0" w:color="auto"/>
            </w:tcBorders>
            <w:hideMark/>
          </w:tcPr>
          <w:p w14:paraId="52E246A0"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The case for change should now be extended to encompass the pre-referral, preoperative and post-operative phases so that it covers the whole end to end pathway from home to home. Some of the benefits which the current case for change aims to deliver will not be achieved without doing this. It would also ensure that proposals for the model of care take account of all key issues. There would need to be collective ownership of this approach.   </w:t>
            </w:r>
          </w:p>
        </w:tc>
      </w:tr>
      <w:tr w:rsidR="00BF6C93" w14:paraId="42B169C6" w14:textId="77777777" w:rsidTr="008261A4">
        <w:trPr>
          <w:trHeight w:val="1050"/>
        </w:trPr>
        <w:tc>
          <w:tcPr>
            <w:tcW w:w="852" w:type="dxa"/>
            <w:tcBorders>
              <w:top w:val="nil"/>
              <w:left w:val="single" w:sz="4" w:space="0" w:color="auto"/>
              <w:bottom w:val="single" w:sz="4" w:space="0" w:color="auto"/>
              <w:right w:val="single" w:sz="4" w:space="0" w:color="auto"/>
            </w:tcBorders>
            <w:noWrap/>
            <w:hideMark/>
          </w:tcPr>
          <w:p w14:paraId="49D11730"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25</w:t>
            </w:r>
          </w:p>
        </w:tc>
        <w:tc>
          <w:tcPr>
            <w:tcW w:w="1220" w:type="dxa"/>
            <w:gridSpan w:val="2"/>
            <w:tcBorders>
              <w:top w:val="nil"/>
              <w:left w:val="nil"/>
              <w:bottom w:val="single" w:sz="4" w:space="0" w:color="auto"/>
              <w:right w:val="single" w:sz="4" w:space="0" w:color="auto"/>
            </w:tcBorders>
            <w:hideMark/>
          </w:tcPr>
          <w:p w14:paraId="757364DA"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36 - 18 a</w:t>
            </w:r>
          </w:p>
        </w:tc>
        <w:tc>
          <w:tcPr>
            <w:tcW w:w="8231" w:type="dxa"/>
            <w:gridSpan w:val="3"/>
            <w:tcBorders>
              <w:top w:val="nil"/>
              <w:left w:val="nil"/>
              <w:bottom w:val="single" w:sz="4" w:space="0" w:color="auto"/>
              <w:right w:val="single" w:sz="4" w:space="0" w:color="auto"/>
            </w:tcBorders>
            <w:hideMark/>
          </w:tcPr>
          <w:p w14:paraId="66F0E5EC"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a. The need to define a proposed model of care for the end to end pathway, including consideration of the implications for primary care and general practice; </w:t>
            </w:r>
          </w:p>
        </w:tc>
      </w:tr>
      <w:tr w:rsidR="00BF6C93" w14:paraId="022B499E" w14:textId="77777777" w:rsidTr="008261A4">
        <w:trPr>
          <w:trHeight w:val="1950"/>
        </w:trPr>
        <w:tc>
          <w:tcPr>
            <w:tcW w:w="852" w:type="dxa"/>
            <w:tcBorders>
              <w:top w:val="nil"/>
              <w:left w:val="single" w:sz="4" w:space="0" w:color="auto"/>
              <w:bottom w:val="single" w:sz="4" w:space="0" w:color="auto"/>
              <w:right w:val="single" w:sz="4" w:space="0" w:color="auto"/>
            </w:tcBorders>
            <w:noWrap/>
            <w:hideMark/>
          </w:tcPr>
          <w:p w14:paraId="2B339F02"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26</w:t>
            </w:r>
          </w:p>
        </w:tc>
        <w:tc>
          <w:tcPr>
            <w:tcW w:w="1220" w:type="dxa"/>
            <w:gridSpan w:val="2"/>
            <w:tcBorders>
              <w:top w:val="nil"/>
              <w:left w:val="nil"/>
              <w:bottom w:val="single" w:sz="4" w:space="0" w:color="auto"/>
              <w:right w:val="single" w:sz="4" w:space="0" w:color="auto"/>
            </w:tcBorders>
            <w:hideMark/>
          </w:tcPr>
          <w:p w14:paraId="7667CD8A"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36 18d</w:t>
            </w:r>
          </w:p>
        </w:tc>
        <w:tc>
          <w:tcPr>
            <w:tcW w:w="8231" w:type="dxa"/>
            <w:gridSpan w:val="3"/>
            <w:tcBorders>
              <w:top w:val="nil"/>
              <w:left w:val="nil"/>
              <w:bottom w:val="single" w:sz="4" w:space="0" w:color="auto"/>
              <w:right w:val="single" w:sz="4" w:space="0" w:color="auto"/>
            </w:tcBorders>
            <w:hideMark/>
          </w:tcPr>
          <w:p w14:paraId="074521B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d. A model of care which consolidates planned inpatient orthopaedic care would increase the number of interfaces across different services and organisational boundaries. Standardisation of processes and protocols and greater consistency across all services, including community services across the six CCGs and boroughs, would be essential in ensuring such a model worked effectively; </w:t>
            </w:r>
          </w:p>
        </w:tc>
      </w:tr>
      <w:tr w:rsidR="00BF6C93" w14:paraId="41356603" w14:textId="77777777" w:rsidTr="008261A4">
        <w:trPr>
          <w:trHeight w:val="1860"/>
        </w:trPr>
        <w:tc>
          <w:tcPr>
            <w:tcW w:w="852" w:type="dxa"/>
            <w:tcBorders>
              <w:top w:val="nil"/>
              <w:left w:val="single" w:sz="4" w:space="0" w:color="auto"/>
              <w:bottom w:val="single" w:sz="4" w:space="0" w:color="auto"/>
              <w:right w:val="single" w:sz="4" w:space="0" w:color="auto"/>
            </w:tcBorders>
            <w:noWrap/>
            <w:hideMark/>
          </w:tcPr>
          <w:p w14:paraId="51B3E799"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27</w:t>
            </w:r>
          </w:p>
        </w:tc>
        <w:tc>
          <w:tcPr>
            <w:tcW w:w="1220" w:type="dxa"/>
            <w:gridSpan w:val="2"/>
            <w:tcBorders>
              <w:top w:val="nil"/>
              <w:left w:val="nil"/>
              <w:bottom w:val="single" w:sz="4" w:space="0" w:color="auto"/>
              <w:right w:val="single" w:sz="4" w:space="0" w:color="auto"/>
            </w:tcBorders>
            <w:hideMark/>
          </w:tcPr>
          <w:p w14:paraId="7DC8B112"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page 37-point 21 </w:t>
            </w:r>
          </w:p>
        </w:tc>
        <w:tc>
          <w:tcPr>
            <w:tcW w:w="8231" w:type="dxa"/>
            <w:gridSpan w:val="3"/>
            <w:tcBorders>
              <w:top w:val="nil"/>
              <w:left w:val="nil"/>
              <w:bottom w:val="single" w:sz="4" w:space="0" w:color="auto"/>
              <w:right w:val="single" w:sz="4" w:space="0" w:color="auto"/>
            </w:tcBorders>
            <w:hideMark/>
          </w:tcPr>
          <w:p w14:paraId="173E043D"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Robust networking and collaboration would be essential to build the relationships and trust required for the proposed model to operate effectively, in particular standardising clinical approaches and processes. There are examples to learn from and draw on where this has been achieved in south east London. Currently, however, the model of care has little detail on the proposed networking approach. </w:t>
            </w:r>
          </w:p>
        </w:tc>
      </w:tr>
      <w:tr w:rsidR="00BF6C93" w14:paraId="794DC5A8" w14:textId="77777777" w:rsidTr="008261A4">
        <w:trPr>
          <w:trHeight w:val="1820"/>
        </w:trPr>
        <w:tc>
          <w:tcPr>
            <w:tcW w:w="852" w:type="dxa"/>
            <w:tcBorders>
              <w:top w:val="nil"/>
              <w:left w:val="single" w:sz="4" w:space="0" w:color="auto"/>
              <w:bottom w:val="single" w:sz="4" w:space="0" w:color="auto"/>
              <w:right w:val="single" w:sz="4" w:space="0" w:color="auto"/>
            </w:tcBorders>
            <w:noWrap/>
            <w:hideMark/>
          </w:tcPr>
          <w:p w14:paraId="3897505D"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28</w:t>
            </w:r>
          </w:p>
        </w:tc>
        <w:tc>
          <w:tcPr>
            <w:tcW w:w="1220" w:type="dxa"/>
            <w:gridSpan w:val="2"/>
            <w:tcBorders>
              <w:top w:val="nil"/>
              <w:left w:val="nil"/>
              <w:bottom w:val="single" w:sz="4" w:space="0" w:color="auto"/>
              <w:right w:val="single" w:sz="4" w:space="0" w:color="auto"/>
            </w:tcBorders>
            <w:hideMark/>
          </w:tcPr>
          <w:p w14:paraId="1FF2E05F"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37-point 23</w:t>
            </w:r>
          </w:p>
        </w:tc>
        <w:tc>
          <w:tcPr>
            <w:tcW w:w="8231" w:type="dxa"/>
            <w:gridSpan w:val="3"/>
            <w:tcBorders>
              <w:top w:val="nil"/>
              <w:left w:val="nil"/>
              <w:bottom w:val="single" w:sz="4" w:space="0" w:color="auto"/>
              <w:right w:val="single" w:sz="4" w:space="0" w:color="auto"/>
            </w:tcBorders>
            <w:hideMark/>
          </w:tcPr>
          <w:p w14:paraId="4396552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 As with the case for change, the model of care should be further developed and defined to encompass the whole pathway of care. Particular attention needs to be given to the pre-referral, pre-operative and post-operative phases including readmissions. Key interfaces and requirements to ensure a robust and effective model overall should be reflected in specifications developed e.g. for all parts of the pathway including community based musculoskeletal treatment and care.  </w:t>
            </w:r>
          </w:p>
        </w:tc>
      </w:tr>
      <w:tr w:rsidR="00BF6C93" w14:paraId="4D54AA8D" w14:textId="77777777" w:rsidTr="008261A4">
        <w:trPr>
          <w:trHeight w:val="2080"/>
        </w:trPr>
        <w:tc>
          <w:tcPr>
            <w:tcW w:w="852" w:type="dxa"/>
            <w:tcBorders>
              <w:top w:val="nil"/>
              <w:left w:val="single" w:sz="4" w:space="0" w:color="auto"/>
              <w:bottom w:val="single" w:sz="4" w:space="0" w:color="auto"/>
              <w:right w:val="single" w:sz="4" w:space="0" w:color="auto"/>
            </w:tcBorders>
            <w:noWrap/>
            <w:hideMark/>
          </w:tcPr>
          <w:p w14:paraId="37A4ADFA"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29</w:t>
            </w:r>
          </w:p>
        </w:tc>
        <w:tc>
          <w:tcPr>
            <w:tcW w:w="1220" w:type="dxa"/>
            <w:gridSpan w:val="2"/>
            <w:tcBorders>
              <w:top w:val="nil"/>
              <w:left w:val="nil"/>
              <w:bottom w:val="single" w:sz="4" w:space="0" w:color="auto"/>
              <w:right w:val="single" w:sz="4" w:space="0" w:color="auto"/>
            </w:tcBorders>
            <w:hideMark/>
          </w:tcPr>
          <w:p w14:paraId="43B311AF"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40- point 45</w:t>
            </w:r>
          </w:p>
        </w:tc>
        <w:tc>
          <w:tcPr>
            <w:tcW w:w="8231" w:type="dxa"/>
            <w:gridSpan w:val="3"/>
            <w:tcBorders>
              <w:top w:val="nil"/>
              <w:left w:val="nil"/>
              <w:bottom w:val="single" w:sz="4" w:space="0" w:color="auto"/>
              <w:right w:val="single" w:sz="4" w:space="0" w:color="auto"/>
            </w:tcBorders>
            <w:hideMark/>
          </w:tcPr>
          <w:p w14:paraId="47BA3373"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40. Work should begin to identify where standardisation offers the greatest opportunities to deliver improvements (quality and cost). Given its importance to the overall model of care proposed, and because of wider benefits and learning that would accrue, we would recommend an early focus on community services, including pre-referral and preoperative assessment and post-operative care which could be for a defined group of patients initially e.g. older people with comorbidities. </w:t>
            </w:r>
          </w:p>
        </w:tc>
      </w:tr>
      <w:tr w:rsidR="00BF6C93" w14:paraId="51083853" w14:textId="77777777" w:rsidTr="008261A4">
        <w:trPr>
          <w:trHeight w:val="1530"/>
        </w:trPr>
        <w:tc>
          <w:tcPr>
            <w:tcW w:w="852" w:type="dxa"/>
            <w:tcBorders>
              <w:top w:val="nil"/>
              <w:left w:val="single" w:sz="4" w:space="0" w:color="auto"/>
              <w:bottom w:val="single" w:sz="4" w:space="0" w:color="auto"/>
              <w:right w:val="single" w:sz="4" w:space="0" w:color="auto"/>
            </w:tcBorders>
            <w:noWrap/>
            <w:hideMark/>
          </w:tcPr>
          <w:p w14:paraId="441FD304" w14:textId="77777777" w:rsidR="00BF6C93" w:rsidRDefault="00BF6C93">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30</w:t>
            </w:r>
          </w:p>
        </w:tc>
        <w:tc>
          <w:tcPr>
            <w:tcW w:w="1220" w:type="dxa"/>
            <w:gridSpan w:val="2"/>
            <w:tcBorders>
              <w:top w:val="nil"/>
              <w:left w:val="nil"/>
              <w:bottom w:val="single" w:sz="4" w:space="0" w:color="auto"/>
              <w:right w:val="single" w:sz="4" w:space="0" w:color="auto"/>
            </w:tcBorders>
            <w:hideMark/>
          </w:tcPr>
          <w:p w14:paraId="13EF1A98"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page 41- point 49</w:t>
            </w:r>
          </w:p>
        </w:tc>
        <w:tc>
          <w:tcPr>
            <w:tcW w:w="8231" w:type="dxa"/>
            <w:gridSpan w:val="3"/>
            <w:tcBorders>
              <w:top w:val="nil"/>
              <w:left w:val="nil"/>
              <w:bottom w:val="single" w:sz="4" w:space="0" w:color="auto"/>
              <w:right w:val="single" w:sz="4" w:space="0" w:color="auto"/>
            </w:tcBorders>
            <w:hideMark/>
          </w:tcPr>
          <w:p w14:paraId="56DC0066" w14:textId="77777777" w:rsidR="00BF6C93" w:rsidRDefault="00BF6C93">
            <w:pPr>
              <w:spacing w:after="0" w:line="240" w:lineRule="auto"/>
              <w:rPr>
                <w:rFonts w:eastAsia="Times New Roman" w:cs="Calibri"/>
                <w:color w:val="000000"/>
                <w:sz w:val="24"/>
                <w:szCs w:val="24"/>
                <w:lang w:eastAsia="en-GB"/>
              </w:rPr>
            </w:pPr>
            <w:r>
              <w:rPr>
                <w:rFonts w:eastAsia="Times New Roman" w:cs="Calibri"/>
                <w:color w:val="000000"/>
                <w:sz w:val="24"/>
                <w:szCs w:val="24"/>
                <w:lang w:eastAsia="en-GB"/>
              </w:rPr>
              <w:t>49. Patients and carers and staff should be involved in identifying and agreeing measures of success. Goals and measures covering the whole pathway should be articulated as clearly as possible and be widely shared. They need to be owned by the whole system</w:t>
            </w:r>
          </w:p>
        </w:tc>
      </w:tr>
      <w:tr w:rsidR="00BF6C93" w14:paraId="3CD38A30" w14:textId="77777777" w:rsidTr="008261A4">
        <w:trPr>
          <w:trHeight w:val="290"/>
        </w:trPr>
        <w:tc>
          <w:tcPr>
            <w:tcW w:w="852" w:type="dxa"/>
            <w:noWrap/>
            <w:hideMark/>
          </w:tcPr>
          <w:p w14:paraId="436597E0" w14:textId="77777777" w:rsidR="00BF6C93" w:rsidRDefault="00BF6C93">
            <w:pPr>
              <w:spacing w:after="0"/>
            </w:pPr>
          </w:p>
        </w:tc>
        <w:tc>
          <w:tcPr>
            <w:tcW w:w="1220" w:type="dxa"/>
            <w:gridSpan w:val="2"/>
            <w:hideMark/>
          </w:tcPr>
          <w:p w14:paraId="2B805068" w14:textId="77777777" w:rsidR="00BF6C93" w:rsidRDefault="00BF6C93">
            <w:pPr>
              <w:spacing w:after="0"/>
            </w:pPr>
          </w:p>
        </w:tc>
        <w:tc>
          <w:tcPr>
            <w:tcW w:w="8231" w:type="dxa"/>
            <w:gridSpan w:val="3"/>
            <w:hideMark/>
          </w:tcPr>
          <w:p w14:paraId="74996C10" w14:textId="77777777" w:rsidR="00BF6C93" w:rsidRDefault="00BF6C93">
            <w:pPr>
              <w:spacing w:after="0"/>
            </w:pPr>
          </w:p>
        </w:tc>
      </w:tr>
      <w:tr w:rsidR="008261A4" w14:paraId="50230CA7" w14:textId="77777777" w:rsidTr="00E2002F">
        <w:trPr>
          <w:trHeight w:val="333"/>
        </w:trPr>
        <w:tc>
          <w:tcPr>
            <w:tcW w:w="10303" w:type="dxa"/>
            <w:gridSpan w:val="6"/>
            <w:noWrap/>
            <w:hideMark/>
          </w:tcPr>
          <w:p w14:paraId="1A692E54" w14:textId="706E06EF" w:rsidR="008261A4" w:rsidRDefault="008261A4">
            <w:pPr>
              <w:spacing w:after="0"/>
            </w:pPr>
          </w:p>
        </w:tc>
      </w:tr>
      <w:tr w:rsidR="00BF6C93" w14:paraId="4CC22C05" w14:textId="77777777" w:rsidTr="008261A4">
        <w:trPr>
          <w:trHeight w:val="290"/>
        </w:trPr>
        <w:tc>
          <w:tcPr>
            <w:tcW w:w="852" w:type="dxa"/>
            <w:noWrap/>
          </w:tcPr>
          <w:p w14:paraId="6BA94F16" w14:textId="77777777" w:rsidR="00BF6C93" w:rsidRDefault="00BF6C93">
            <w:pPr>
              <w:spacing w:after="0"/>
            </w:pPr>
          </w:p>
          <w:p w14:paraId="594BF8D3" w14:textId="77777777" w:rsidR="00BF6C93" w:rsidRDefault="00BF6C93">
            <w:pPr>
              <w:spacing w:after="0"/>
            </w:pPr>
          </w:p>
          <w:p w14:paraId="52959DFA" w14:textId="77777777" w:rsidR="00BF6C93" w:rsidRDefault="00BF6C93">
            <w:pPr>
              <w:spacing w:after="0"/>
            </w:pPr>
          </w:p>
          <w:p w14:paraId="50DA6C2A" w14:textId="77777777" w:rsidR="00BF6C93" w:rsidRDefault="00BF6C93">
            <w:pPr>
              <w:spacing w:after="0"/>
            </w:pPr>
          </w:p>
          <w:p w14:paraId="66747A1F" w14:textId="77777777" w:rsidR="00BF6C93" w:rsidRDefault="00BF6C93">
            <w:pPr>
              <w:spacing w:after="0"/>
            </w:pPr>
          </w:p>
          <w:p w14:paraId="1D7DE290" w14:textId="77777777" w:rsidR="00BF6C93" w:rsidRDefault="00BF6C93">
            <w:pPr>
              <w:spacing w:after="0"/>
            </w:pPr>
          </w:p>
          <w:p w14:paraId="016965FD" w14:textId="77777777" w:rsidR="00BF6C93" w:rsidRDefault="00BF6C93">
            <w:pPr>
              <w:spacing w:after="0"/>
            </w:pPr>
          </w:p>
          <w:p w14:paraId="437A4CD0" w14:textId="77777777" w:rsidR="00BF6C93" w:rsidRDefault="00BF6C93">
            <w:pPr>
              <w:spacing w:after="0"/>
            </w:pPr>
          </w:p>
          <w:p w14:paraId="45E1A05B" w14:textId="77777777" w:rsidR="00BF6C93" w:rsidRDefault="00BF6C93">
            <w:pPr>
              <w:spacing w:after="0"/>
            </w:pPr>
          </w:p>
          <w:p w14:paraId="7BD18B5C" w14:textId="77777777" w:rsidR="00BF6C93" w:rsidRDefault="00BF6C93">
            <w:pPr>
              <w:spacing w:after="0"/>
            </w:pPr>
          </w:p>
          <w:p w14:paraId="30DC537D" w14:textId="77777777" w:rsidR="00BF6C93" w:rsidRDefault="00BF6C93">
            <w:pPr>
              <w:spacing w:after="0"/>
            </w:pPr>
          </w:p>
          <w:p w14:paraId="0F7BC10C" w14:textId="77777777" w:rsidR="00BF6C93" w:rsidRDefault="00BF6C93">
            <w:pPr>
              <w:spacing w:after="0"/>
            </w:pPr>
          </w:p>
          <w:p w14:paraId="19A9ACA6" w14:textId="77777777" w:rsidR="00BF6C93" w:rsidRDefault="00BF6C93">
            <w:pPr>
              <w:spacing w:after="0"/>
            </w:pPr>
          </w:p>
          <w:p w14:paraId="1D511421" w14:textId="77777777" w:rsidR="00BF6C93" w:rsidRDefault="00BF6C93">
            <w:pPr>
              <w:spacing w:after="0"/>
            </w:pPr>
          </w:p>
          <w:p w14:paraId="4A7DF5D4" w14:textId="77777777" w:rsidR="00BF6C93" w:rsidRDefault="00BF6C93">
            <w:pPr>
              <w:spacing w:after="0"/>
            </w:pPr>
          </w:p>
          <w:p w14:paraId="5D4C9690" w14:textId="77777777" w:rsidR="00BF6C93" w:rsidRDefault="00BF6C93">
            <w:pPr>
              <w:spacing w:after="0"/>
            </w:pPr>
          </w:p>
          <w:p w14:paraId="5E38F644" w14:textId="77777777" w:rsidR="00BF6C93" w:rsidRDefault="00BF6C93">
            <w:pPr>
              <w:spacing w:after="0"/>
            </w:pPr>
          </w:p>
          <w:p w14:paraId="4A4C7461" w14:textId="77777777" w:rsidR="00BF6C93" w:rsidRDefault="00BF6C93">
            <w:pPr>
              <w:spacing w:after="0"/>
            </w:pPr>
          </w:p>
          <w:p w14:paraId="721999BB" w14:textId="77777777" w:rsidR="00BF6C93" w:rsidRDefault="00BF6C93">
            <w:pPr>
              <w:spacing w:after="0"/>
            </w:pPr>
          </w:p>
          <w:p w14:paraId="5B2B9BBC" w14:textId="77777777" w:rsidR="00BF6C93" w:rsidRDefault="00BF6C93">
            <w:pPr>
              <w:spacing w:after="0"/>
            </w:pPr>
          </w:p>
          <w:p w14:paraId="33025E6E" w14:textId="77777777" w:rsidR="00BF6C93" w:rsidRDefault="00BF6C93">
            <w:pPr>
              <w:spacing w:after="0"/>
            </w:pPr>
          </w:p>
          <w:p w14:paraId="7CED6159" w14:textId="77777777" w:rsidR="00BF6C93" w:rsidRDefault="00BF6C93">
            <w:pPr>
              <w:spacing w:after="0"/>
            </w:pPr>
          </w:p>
          <w:p w14:paraId="39BC86CC" w14:textId="77777777" w:rsidR="00BF6C93" w:rsidRDefault="00BF6C93">
            <w:pPr>
              <w:spacing w:after="0"/>
            </w:pPr>
          </w:p>
          <w:p w14:paraId="108C1681" w14:textId="77777777" w:rsidR="00BF6C93" w:rsidRDefault="00BF6C93">
            <w:pPr>
              <w:spacing w:after="0"/>
            </w:pPr>
          </w:p>
        </w:tc>
        <w:tc>
          <w:tcPr>
            <w:tcW w:w="1220" w:type="dxa"/>
            <w:gridSpan w:val="2"/>
            <w:vAlign w:val="bottom"/>
          </w:tcPr>
          <w:p w14:paraId="694816E5" w14:textId="77777777" w:rsidR="00BF6C93" w:rsidRDefault="00BF6C93">
            <w:pPr>
              <w:spacing w:after="0"/>
            </w:pPr>
          </w:p>
        </w:tc>
        <w:tc>
          <w:tcPr>
            <w:tcW w:w="8231" w:type="dxa"/>
            <w:gridSpan w:val="3"/>
          </w:tcPr>
          <w:p w14:paraId="0DA34CB3" w14:textId="77777777" w:rsidR="00BF6C93" w:rsidRDefault="00BF6C93">
            <w:pPr>
              <w:spacing w:after="0"/>
            </w:pPr>
          </w:p>
        </w:tc>
      </w:tr>
      <w:tr w:rsidR="00BF6C93" w14:paraId="591F38E0" w14:textId="77777777" w:rsidTr="008261A4">
        <w:trPr>
          <w:gridAfter w:val="1"/>
          <w:wAfter w:w="260" w:type="dxa"/>
          <w:trHeight w:val="680"/>
        </w:trPr>
        <w:tc>
          <w:tcPr>
            <w:tcW w:w="892" w:type="dxa"/>
            <w:gridSpan w:val="2"/>
            <w:tcBorders>
              <w:top w:val="single" w:sz="4" w:space="0" w:color="auto"/>
              <w:left w:val="single" w:sz="4" w:space="0" w:color="auto"/>
              <w:bottom w:val="single" w:sz="4" w:space="0" w:color="auto"/>
              <w:right w:val="single" w:sz="4" w:space="0" w:color="auto"/>
            </w:tcBorders>
            <w:noWrap/>
            <w:hideMark/>
          </w:tcPr>
          <w:p w14:paraId="501F901C"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lastRenderedPageBreak/>
              <w:t> </w:t>
            </w:r>
          </w:p>
        </w:tc>
        <w:tc>
          <w:tcPr>
            <w:tcW w:w="2360" w:type="dxa"/>
            <w:gridSpan w:val="2"/>
            <w:tcBorders>
              <w:top w:val="single" w:sz="4" w:space="0" w:color="auto"/>
              <w:left w:val="nil"/>
              <w:bottom w:val="single" w:sz="4" w:space="0" w:color="auto"/>
              <w:right w:val="single" w:sz="4" w:space="0" w:color="auto"/>
            </w:tcBorders>
            <w:noWrap/>
            <w:hideMark/>
          </w:tcPr>
          <w:p w14:paraId="65E86945"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w:t>
            </w:r>
          </w:p>
        </w:tc>
        <w:tc>
          <w:tcPr>
            <w:tcW w:w="6791" w:type="dxa"/>
            <w:tcBorders>
              <w:top w:val="single" w:sz="4" w:space="0" w:color="auto"/>
              <w:left w:val="nil"/>
              <w:bottom w:val="single" w:sz="4" w:space="0" w:color="auto"/>
              <w:right w:val="single" w:sz="4" w:space="0" w:color="auto"/>
            </w:tcBorders>
            <w:vAlign w:val="center"/>
            <w:hideMark/>
          </w:tcPr>
          <w:p w14:paraId="201B79E0" w14:textId="77777777" w:rsidR="00BF6C93" w:rsidRDefault="00BF6C93">
            <w:pPr>
              <w:spacing w:after="0" w:line="240" w:lineRule="auto"/>
              <w:jc w:val="center"/>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8 Requests for the consideration of the Enhance</w:t>
            </w:r>
            <w:r w:rsidR="003D3043">
              <w:rPr>
                <w:rFonts w:eastAsia="Times New Roman" w:cs="Calibri"/>
                <w:b/>
                <w:bCs/>
                <w:color w:val="000000"/>
                <w:sz w:val="24"/>
                <w:szCs w:val="24"/>
                <w:u w:val="single"/>
                <w:lang w:eastAsia="en-GB"/>
              </w:rPr>
              <w:t>d</w:t>
            </w:r>
            <w:r>
              <w:rPr>
                <w:rFonts w:eastAsia="Times New Roman" w:cs="Calibri"/>
                <w:b/>
                <w:bCs/>
                <w:color w:val="000000"/>
                <w:sz w:val="24"/>
                <w:szCs w:val="24"/>
                <w:u w:val="single"/>
                <w:lang w:eastAsia="en-GB"/>
              </w:rPr>
              <w:t xml:space="preserve"> Status Quo</w:t>
            </w:r>
          </w:p>
        </w:tc>
      </w:tr>
      <w:tr w:rsidR="00BF6C93" w14:paraId="352E4FE1" w14:textId="77777777" w:rsidTr="008261A4">
        <w:trPr>
          <w:gridAfter w:val="1"/>
          <w:wAfter w:w="260" w:type="dxa"/>
          <w:trHeight w:val="910"/>
        </w:trPr>
        <w:tc>
          <w:tcPr>
            <w:tcW w:w="892" w:type="dxa"/>
            <w:gridSpan w:val="2"/>
            <w:tcBorders>
              <w:top w:val="nil"/>
              <w:left w:val="single" w:sz="4" w:space="0" w:color="auto"/>
              <w:bottom w:val="single" w:sz="4" w:space="0" w:color="auto"/>
              <w:right w:val="single" w:sz="4" w:space="0" w:color="auto"/>
            </w:tcBorders>
            <w:noWrap/>
            <w:hideMark/>
          </w:tcPr>
          <w:p w14:paraId="1DD5D38D"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1</w:t>
            </w:r>
          </w:p>
        </w:tc>
        <w:tc>
          <w:tcPr>
            <w:tcW w:w="2360" w:type="dxa"/>
            <w:gridSpan w:val="2"/>
            <w:tcBorders>
              <w:top w:val="nil"/>
              <w:left w:val="nil"/>
              <w:bottom w:val="single" w:sz="4" w:space="0" w:color="auto"/>
              <w:right w:val="single" w:sz="4" w:space="0" w:color="auto"/>
            </w:tcBorders>
            <w:noWrap/>
            <w:hideMark/>
          </w:tcPr>
          <w:p w14:paraId="2F218A76"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18 paragraph 3</w:t>
            </w:r>
          </w:p>
        </w:tc>
        <w:tc>
          <w:tcPr>
            <w:tcW w:w="6791" w:type="dxa"/>
            <w:tcBorders>
              <w:top w:val="nil"/>
              <w:left w:val="nil"/>
              <w:bottom w:val="single" w:sz="4" w:space="0" w:color="auto"/>
              <w:right w:val="single" w:sz="4" w:space="0" w:color="auto"/>
            </w:tcBorders>
            <w:hideMark/>
          </w:tcPr>
          <w:p w14:paraId="34C99A39"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The review team felt that the rationale for including or discounting options was not explicit in the information we received</w:t>
            </w:r>
          </w:p>
        </w:tc>
      </w:tr>
      <w:tr w:rsidR="00BF6C93" w14:paraId="19906B28" w14:textId="77777777" w:rsidTr="008261A4">
        <w:trPr>
          <w:gridAfter w:val="1"/>
          <w:wAfter w:w="260" w:type="dxa"/>
          <w:trHeight w:val="1010"/>
        </w:trPr>
        <w:tc>
          <w:tcPr>
            <w:tcW w:w="892" w:type="dxa"/>
            <w:gridSpan w:val="2"/>
            <w:tcBorders>
              <w:top w:val="nil"/>
              <w:left w:val="single" w:sz="4" w:space="0" w:color="auto"/>
              <w:bottom w:val="single" w:sz="4" w:space="0" w:color="auto"/>
              <w:right w:val="single" w:sz="4" w:space="0" w:color="auto"/>
            </w:tcBorders>
            <w:noWrap/>
            <w:hideMark/>
          </w:tcPr>
          <w:p w14:paraId="4CBB360A"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2</w:t>
            </w:r>
          </w:p>
        </w:tc>
        <w:tc>
          <w:tcPr>
            <w:tcW w:w="2360" w:type="dxa"/>
            <w:gridSpan w:val="2"/>
            <w:tcBorders>
              <w:top w:val="nil"/>
              <w:left w:val="nil"/>
              <w:bottom w:val="single" w:sz="4" w:space="0" w:color="auto"/>
              <w:right w:val="single" w:sz="4" w:space="0" w:color="auto"/>
            </w:tcBorders>
            <w:noWrap/>
            <w:hideMark/>
          </w:tcPr>
          <w:p w14:paraId="45150C87"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20 paragraph 2</w:t>
            </w:r>
          </w:p>
        </w:tc>
        <w:tc>
          <w:tcPr>
            <w:tcW w:w="6791" w:type="dxa"/>
            <w:tcBorders>
              <w:top w:val="nil"/>
              <w:left w:val="nil"/>
              <w:bottom w:val="single" w:sz="4" w:space="0" w:color="auto"/>
              <w:right w:val="single" w:sz="4" w:space="0" w:color="auto"/>
            </w:tcBorders>
            <w:hideMark/>
          </w:tcPr>
          <w:p w14:paraId="538E6A4A"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Some stakeholders also felt the opportunity to look innovatively at an improved model for rehabilitation within the overall model of care was not being taken.</w:t>
            </w:r>
          </w:p>
        </w:tc>
      </w:tr>
      <w:tr w:rsidR="00BF6C93" w14:paraId="0B956E78" w14:textId="77777777" w:rsidTr="008261A4">
        <w:trPr>
          <w:gridAfter w:val="1"/>
          <w:wAfter w:w="260" w:type="dxa"/>
          <w:trHeight w:val="1610"/>
        </w:trPr>
        <w:tc>
          <w:tcPr>
            <w:tcW w:w="892" w:type="dxa"/>
            <w:gridSpan w:val="2"/>
            <w:tcBorders>
              <w:top w:val="nil"/>
              <w:left w:val="single" w:sz="4" w:space="0" w:color="auto"/>
              <w:bottom w:val="single" w:sz="4" w:space="0" w:color="auto"/>
              <w:right w:val="single" w:sz="4" w:space="0" w:color="auto"/>
            </w:tcBorders>
            <w:noWrap/>
            <w:hideMark/>
          </w:tcPr>
          <w:p w14:paraId="546BA1F1"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3</w:t>
            </w:r>
          </w:p>
        </w:tc>
        <w:tc>
          <w:tcPr>
            <w:tcW w:w="2360" w:type="dxa"/>
            <w:gridSpan w:val="2"/>
            <w:tcBorders>
              <w:top w:val="nil"/>
              <w:left w:val="nil"/>
              <w:bottom w:val="single" w:sz="4" w:space="0" w:color="auto"/>
              <w:right w:val="single" w:sz="4" w:space="0" w:color="auto"/>
            </w:tcBorders>
            <w:noWrap/>
            <w:hideMark/>
          </w:tcPr>
          <w:p w14:paraId="40306E2C"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20 paragraph 4</w:t>
            </w:r>
          </w:p>
        </w:tc>
        <w:tc>
          <w:tcPr>
            <w:tcW w:w="6791" w:type="dxa"/>
            <w:tcBorders>
              <w:top w:val="nil"/>
              <w:left w:val="nil"/>
              <w:bottom w:val="single" w:sz="4" w:space="0" w:color="auto"/>
              <w:right w:val="single" w:sz="4" w:space="0" w:color="auto"/>
            </w:tcBorders>
            <w:hideMark/>
          </w:tcPr>
          <w:p w14:paraId="1CFF5CBD"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Whilst many stakeholders indicated support for a two-centre model for elective orthopaedic inpatients, patients and carers representatives have mixed views and would like to see stronger evidence, including the potential to deliver benefits through the current model or an enhancement of it. </w:t>
            </w:r>
          </w:p>
        </w:tc>
      </w:tr>
      <w:tr w:rsidR="00BF6C93" w14:paraId="0F595945" w14:textId="77777777" w:rsidTr="008261A4">
        <w:trPr>
          <w:gridAfter w:val="1"/>
          <w:wAfter w:w="260" w:type="dxa"/>
          <w:trHeight w:val="860"/>
        </w:trPr>
        <w:tc>
          <w:tcPr>
            <w:tcW w:w="892" w:type="dxa"/>
            <w:gridSpan w:val="2"/>
            <w:tcBorders>
              <w:top w:val="nil"/>
              <w:left w:val="single" w:sz="4" w:space="0" w:color="auto"/>
              <w:bottom w:val="single" w:sz="4" w:space="0" w:color="auto"/>
              <w:right w:val="single" w:sz="4" w:space="0" w:color="auto"/>
            </w:tcBorders>
            <w:noWrap/>
            <w:hideMark/>
          </w:tcPr>
          <w:p w14:paraId="7EBBA0B8"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4</w:t>
            </w:r>
          </w:p>
        </w:tc>
        <w:tc>
          <w:tcPr>
            <w:tcW w:w="2360" w:type="dxa"/>
            <w:gridSpan w:val="2"/>
            <w:tcBorders>
              <w:top w:val="nil"/>
              <w:left w:val="nil"/>
              <w:bottom w:val="single" w:sz="4" w:space="0" w:color="auto"/>
              <w:right w:val="single" w:sz="4" w:space="0" w:color="auto"/>
            </w:tcBorders>
            <w:noWrap/>
            <w:hideMark/>
          </w:tcPr>
          <w:p w14:paraId="7F11BCB5"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20 paragraph 5</w:t>
            </w:r>
          </w:p>
        </w:tc>
        <w:tc>
          <w:tcPr>
            <w:tcW w:w="6791" w:type="dxa"/>
            <w:tcBorders>
              <w:top w:val="nil"/>
              <w:left w:val="nil"/>
              <w:bottom w:val="single" w:sz="4" w:space="0" w:color="auto"/>
              <w:right w:val="single" w:sz="4" w:space="0" w:color="auto"/>
            </w:tcBorders>
            <w:hideMark/>
          </w:tcPr>
          <w:p w14:paraId="66817459"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The rationale for continuing to explore or discount specific options was not explicit in the documentation we received.  </w:t>
            </w:r>
          </w:p>
        </w:tc>
      </w:tr>
      <w:tr w:rsidR="00BF6C93" w14:paraId="175BCF96" w14:textId="77777777" w:rsidTr="008261A4">
        <w:trPr>
          <w:gridAfter w:val="1"/>
          <w:wAfter w:w="260" w:type="dxa"/>
          <w:trHeight w:val="2070"/>
        </w:trPr>
        <w:tc>
          <w:tcPr>
            <w:tcW w:w="892" w:type="dxa"/>
            <w:gridSpan w:val="2"/>
            <w:tcBorders>
              <w:top w:val="nil"/>
              <w:left w:val="single" w:sz="4" w:space="0" w:color="auto"/>
              <w:bottom w:val="single" w:sz="4" w:space="0" w:color="auto"/>
              <w:right w:val="single" w:sz="4" w:space="0" w:color="auto"/>
            </w:tcBorders>
            <w:noWrap/>
            <w:hideMark/>
          </w:tcPr>
          <w:p w14:paraId="71C264DC"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5</w:t>
            </w:r>
          </w:p>
        </w:tc>
        <w:tc>
          <w:tcPr>
            <w:tcW w:w="2360" w:type="dxa"/>
            <w:gridSpan w:val="2"/>
            <w:tcBorders>
              <w:top w:val="nil"/>
              <w:left w:val="nil"/>
              <w:bottom w:val="single" w:sz="4" w:space="0" w:color="auto"/>
              <w:right w:val="single" w:sz="4" w:space="0" w:color="auto"/>
            </w:tcBorders>
            <w:noWrap/>
            <w:hideMark/>
          </w:tcPr>
          <w:p w14:paraId="49A43FFC"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34 Bullet point 4</w:t>
            </w:r>
          </w:p>
        </w:tc>
        <w:tc>
          <w:tcPr>
            <w:tcW w:w="6791" w:type="dxa"/>
            <w:tcBorders>
              <w:top w:val="nil"/>
              <w:left w:val="nil"/>
              <w:bottom w:val="single" w:sz="4" w:space="0" w:color="auto"/>
              <w:right w:val="single" w:sz="4" w:space="0" w:color="auto"/>
            </w:tcBorders>
            <w:hideMark/>
          </w:tcPr>
          <w:p w14:paraId="3D378E53"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Due to variations in community and secondary care, there was not unanimity within the review team that the centralisation approach was necessary to yield the opportunities outlined. Some members felt a comparison with the option of no site change but improved joint working alone still needed to be made both financially and from the impact on staff and patients’ equalities. </w:t>
            </w:r>
          </w:p>
        </w:tc>
      </w:tr>
      <w:tr w:rsidR="00BF6C93" w14:paraId="4C9D2141" w14:textId="77777777" w:rsidTr="008261A4">
        <w:trPr>
          <w:gridAfter w:val="1"/>
          <w:wAfter w:w="260" w:type="dxa"/>
          <w:trHeight w:val="910"/>
        </w:trPr>
        <w:tc>
          <w:tcPr>
            <w:tcW w:w="892" w:type="dxa"/>
            <w:gridSpan w:val="2"/>
            <w:tcBorders>
              <w:top w:val="nil"/>
              <w:left w:val="single" w:sz="4" w:space="0" w:color="auto"/>
              <w:bottom w:val="single" w:sz="4" w:space="0" w:color="auto"/>
              <w:right w:val="single" w:sz="4" w:space="0" w:color="auto"/>
            </w:tcBorders>
            <w:noWrap/>
            <w:hideMark/>
          </w:tcPr>
          <w:p w14:paraId="38376145"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6</w:t>
            </w:r>
          </w:p>
        </w:tc>
        <w:tc>
          <w:tcPr>
            <w:tcW w:w="2360" w:type="dxa"/>
            <w:gridSpan w:val="2"/>
            <w:tcBorders>
              <w:top w:val="nil"/>
              <w:left w:val="nil"/>
              <w:bottom w:val="single" w:sz="4" w:space="0" w:color="auto"/>
              <w:right w:val="single" w:sz="4" w:space="0" w:color="auto"/>
            </w:tcBorders>
            <w:noWrap/>
            <w:hideMark/>
          </w:tcPr>
          <w:p w14:paraId="3F9B5B40"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35 bullet point13</w:t>
            </w:r>
          </w:p>
        </w:tc>
        <w:tc>
          <w:tcPr>
            <w:tcW w:w="6791" w:type="dxa"/>
            <w:tcBorders>
              <w:top w:val="nil"/>
              <w:left w:val="nil"/>
              <w:bottom w:val="single" w:sz="4" w:space="0" w:color="auto"/>
              <w:right w:val="single" w:sz="4" w:space="0" w:color="auto"/>
            </w:tcBorders>
            <w:hideMark/>
          </w:tcPr>
          <w:p w14:paraId="46086F28"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A comparison with the option of no site change but improved joint working alone needs to be made both financially and from the impact on staff and patients’ equalities. </w:t>
            </w:r>
          </w:p>
        </w:tc>
      </w:tr>
      <w:tr w:rsidR="00BF6C93" w14:paraId="6DA65D71" w14:textId="77777777" w:rsidTr="008261A4">
        <w:trPr>
          <w:gridAfter w:val="1"/>
          <w:wAfter w:w="260" w:type="dxa"/>
          <w:trHeight w:val="2360"/>
        </w:trPr>
        <w:tc>
          <w:tcPr>
            <w:tcW w:w="892" w:type="dxa"/>
            <w:gridSpan w:val="2"/>
            <w:tcBorders>
              <w:top w:val="nil"/>
              <w:left w:val="single" w:sz="4" w:space="0" w:color="auto"/>
              <w:bottom w:val="single" w:sz="4" w:space="0" w:color="auto"/>
              <w:right w:val="single" w:sz="4" w:space="0" w:color="auto"/>
            </w:tcBorders>
            <w:noWrap/>
            <w:hideMark/>
          </w:tcPr>
          <w:p w14:paraId="43119EA5"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7</w:t>
            </w:r>
          </w:p>
        </w:tc>
        <w:tc>
          <w:tcPr>
            <w:tcW w:w="2360" w:type="dxa"/>
            <w:gridSpan w:val="2"/>
            <w:tcBorders>
              <w:top w:val="nil"/>
              <w:left w:val="nil"/>
              <w:bottom w:val="single" w:sz="4" w:space="0" w:color="auto"/>
              <w:right w:val="single" w:sz="4" w:space="0" w:color="auto"/>
            </w:tcBorders>
            <w:noWrap/>
            <w:hideMark/>
          </w:tcPr>
          <w:p w14:paraId="15FFE63A"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36 bullet point17</w:t>
            </w:r>
          </w:p>
        </w:tc>
        <w:tc>
          <w:tcPr>
            <w:tcW w:w="6791" w:type="dxa"/>
            <w:tcBorders>
              <w:top w:val="nil"/>
              <w:left w:val="nil"/>
              <w:bottom w:val="single" w:sz="4" w:space="0" w:color="auto"/>
              <w:right w:val="single" w:sz="4" w:space="0" w:color="auto"/>
            </w:tcBorders>
            <w:hideMark/>
          </w:tcPr>
          <w:p w14:paraId="15300116"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We felt that the assumptions behind the two-centre model, for example relating to critical mass, could be explained in more detail and the rationale for continuing to explore or discount specific options was not explicit in the documentation we received. These issues were of particular concern to some PCRG members, who also felt the potential to achieve benefits within the current model, or an enhancement of it, had not been explored enough</w:t>
            </w:r>
          </w:p>
        </w:tc>
      </w:tr>
      <w:tr w:rsidR="00BF6C93" w14:paraId="63CB6E5A" w14:textId="77777777" w:rsidTr="008261A4">
        <w:trPr>
          <w:gridAfter w:val="1"/>
          <w:wAfter w:w="260" w:type="dxa"/>
          <w:trHeight w:val="1310"/>
        </w:trPr>
        <w:tc>
          <w:tcPr>
            <w:tcW w:w="892" w:type="dxa"/>
            <w:gridSpan w:val="2"/>
            <w:tcBorders>
              <w:top w:val="nil"/>
              <w:left w:val="single" w:sz="4" w:space="0" w:color="auto"/>
              <w:bottom w:val="single" w:sz="4" w:space="0" w:color="auto"/>
              <w:right w:val="single" w:sz="4" w:space="0" w:color="auto"/>
            </w:tcBorders>
            <w:noWrap/>
            <w:hideMark/>
          </w:tcPr>
          <w:p w14:paraId="225B9796" w14:textId="77777777" w:rsidR="00BF6C93" w:rsidRDefault="00BF6C93">
            <w:pPr>
              <w:spacing w:after="0" w:line="240" w:lineRule="auto"/>
              <w:jc w:val="center"/>
              <w:rPr>
                <w:rFonts w:eastAsia="Times New Roman" w:cs="Calibri"/>
                <w:color w:val="000000"/>
                <w:lang w:eastAsia="en-GB"/>
              </w:rPr>
            </w:pPr>
            <w:r>
              <w:rPr>
                <w:rFonts w:eastAsia="Times New Roman" w:cs="Calibri"/>
                <w:color w:val="000000"/>
                <w:lang w:eastAsia="en-GB"/>
              </w:rPr>
              <w:t>8</w:t>
            </w:r>
          </w:p>
        </w:tc>
        <w:tc>
          <w:tcPr>
            <w:tcW w:w="2360" w:type="dxa"/>
            <w:gridSpan w:val="2"/>
            <w:tcBorders>
              <w:top w:val="nil"/>
              <w:left w:val="nil"/>
              <w:bottom w:val="single" w:sz="4" w:space="0" w:color="auto"/>
              <w:right w:val="single" w:sz="4" w:space="0" w:color="auto"/>
            </w:tcBorders>
            <w:noWrap/>
            <w:hideMark/>
          </w:tcPr>
          <w:p w14:paraId="2ED31FBF"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37 bullet point 26</w:t>
            </w:r>
          </w:p>
        </w:tc>
        <w:tc>
          <w:tcPr>
            <w:tcW w:w="6791" w:type="dxa"/>
            <w:tcBorders>
              <w:top w:val="nil"/>
              <w:left w:val="nil"/>
              <w:bottom w:val="single" w:sz="4" w:space="0" w:color="auto"/>
              <w:right w:val="single" w:sz="4" w:space="0" w:color="auto"/>
            </w:tcBorders>
            <w:hideMark/>
          </w:tcPr>
          <w:p w14:paraId="7475BC73"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The option identification and appraisal process should be as explicit and transparent as possible in setting out the rationale for inclusion or exclusion of specific options.  </w:t>
            </w:r>
          </w:p>
        </w:tc>
      </w:tr>
    </w:tbl>
    <w:p w14:paraId="0E55662A" w14:textId="77777777" w:rsidR="003210C0" w:rsidRDefault="00B8132C"/>
    <w:p w14:paraId="7D3D0935" w14:textId="77777777" w:rsidR="00BF6C93" w:rsidRDefault="00BF6C93"/>
    <w:p w14:paraId="2997400C" w14:textId="77777777" w:rsidR="00BF6C93" w:rsidRDefault="00BF6C93"/>
    <w:p w14:paraId="2A80E7B3" w14:textId="77777777" w:rsidR="00BF6C93" w:rsidRDefault="00BF6C93"/>
    <w:p w14:paraId="2E45819D" w14:textId="77777777" w:rsidR="00BF6C93" w:rsidRDefault="00BF6C93"/>
    <w:p w14:paraId="3B8A37BB" w14:textId="77777777" w:rsidR="00BF6C93" w:rsidRDefault="00BF6C93"/>
    <w:p w14:paraId="4088D6A7" w14:textId="77777777" w:rsidR="00BF6C93" w:rsidRDefault="00BF6C93"/>
    <w:tbl>
      <w:tblPr>
        <w:tblW w:w="9600" w:type="dxa"/>
        <w:tblInd w:w="93" w:type="dxa"/>
        <w:tblLook w:val="04A0" w:firstRow="1" w:lastRow="0" w:firstColumn="1" w:lastColumn="0" w:noHBand="0" w:noVBand="1"/>
      </w:tblPr>
      <w:tblGrid>
        <w:gridCol w:w="540"/>
        <w:gridCol w:w="2040"/>
        <w:gridCol w:w="7020"/>
      </w:tblGrid>
      <w:tr w:rsidR="00BF6C93" w14:paraId="3F464F20" w14:textId="77777777" w:rsidTr="00BF6C93">
        <w:trPr>
          <w:trHeight w:val="560"/>
        </w:trPr>
        <w:tc>
          <w:tcPr>
            <w:tcW w:w="540" w:type="dxa"/>
            <w:tcBorders>
              <w:top w:val="single" w:sz="4" w:space="0" w:color="auto"/>
              <w:left w:val="single" w:sz="4" w:space="0" w:color="auto"/>
              <w:bottom w:val="single" w:sz="4" w:space="0" w:color="auto"/>
              <w:right w:val="single" w:sz="4" w:space="0" w:color="auto"/>
            </w:tcBorders>
            <w:noWrap/>
            <w:hideMark/>
          </w:tcPr>
          <w:p w14:paraId="5C9F96B7"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lastRenderedPageBreak/>
              <w:t> </w:t>
            </w:r>
          </w:p>
        </w:tc>
        <w:tc>
          <w:tcPr>
            <w:tcW w:w="2040" w:type="dxa"/>
            <w:tcBorders>
              <w:top w:val="single" w:sz="4" w:space="0" w:color="auto"/>
              <w:left w:val="nil"/>
              <w:bottom w:val="single" w:sz="4" w:space="0" w:color="auto"/>
              <w:right w:val="single" w:sz="4" w:space="0" w:color="auto"/>
            </w:tcBorders>
            <w:noWrap/>
            <w:hideMark/>
          </w:tcPr>
          <w:p w14:paraId="7165C058"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w:t>
            </w:r>
          </w:p>
        </w:tc>
        <w:tc>
          <w:tcPr>
            <w:tcW w:w="7020" w:type="dxa"/>
            <w:tcBorders>
              <w:top w:val="single" w:sz="4" w:space="0" w:color="auto"/>
              <w:left w:val="nil"/>
              <w:bottom w:val="single" w:sz="4" w:space="0" w:color="auto"/>
              <w:right w:val="single" w:sz="4" w:space="0" w:color="auto"/>
            </w:tcBorders>
            <w:vAlign w:val="center"/>
            <w:hideMark/>
          </w:tcPr>
          <w:p w14:paraId="6790F650" w14:textId="77777777" w:rsidR="00BF6C93" w:rsidRDefault="00BF6C93">
            <w:pPr>
              <w:spacing w:after="0" w:line="240" w:lineRule="auto"/>
              <w:jc w:val="center"/>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5 Requests  for more consideration of the Equalities impact</w:t>
            </w:r>
          </w:p>
        </w:tc>
      </w:tr>
      <w:tr w:rsidR="00BF6C93" w14:paraId="18060C1E" w14:textId="77777777" w:rsidTr="00BF6C93">
        <w:trPr>
          <w:trHeight w:val="740"/>
        </w:trPr>
        <w:tc>
          <w:tcPr>
            <w:tcW w:w="540" w:type="dxa"/>
            <w:tcBorders>
              <w:top w:val="nil"/>
              <w:left w:val="single" w:sz="4" w:space="0" w:color="auto"/>
              <w:bottom w:val="single" w:sz="4" w:space="0" w:color="auto"/>
              <w:right w:val="single" w:sz="4" w:space="0" w:color="auto"/>
            </w:tcBorders>
            <w:noWrap/>
            <w:hideMark/>
          </w:tcPr>
          <w:p w14:paraId="07566654" w14:textId="77777777" w:rsidR="00BF6C93" w:rsidRDefault="00BF6C93">
            <w:pPr>
              <w:spacing w:after="0" w:line="240" w:lineRule="auto"/>
              <w:jc w:val="right"/>
              <w:rPr>
                <w:rFonts w:eastAsia="Times New Roman" w:cs="Calibri"/>
                <w:color w:val="000000"/>
                <w:lang w:eastAsia="en-GB"/>
              </w:rPr>
            </w:pPr>
            <w:r>
              <w:rPr>
                <w:rFonts w:eastAsia="Times New Roman" w:cs="Calibri"/>
                <w:color w:val="000000"/>
                <w:lang w:eastAsia="en-GB"/>
              </w:rPr>
              <w:t>1</w:t>
            </w:r>
          </w:p>
        </w:tc>
        <w:tc>
          <w:tcPr>
            <w:tcW w:w="2040" w:type="dxa"/>
            <w:tcBorders>
              <w:top w:val="nil"/>
              <w:left w:val="nil"/>
              <w:bottom w:val="single" w:sz="4" w:space="0" w:color="auto"/>
              <w:right w:val="single" w:sz="4" w:space="0" w:color="auto"/>
            </w:tcBorders>
            <w:noWrap/>
            <w:hideMark/>
          </w:tcPr>
          <w:p w14:paraId="18A066FB"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page5</w:t>
            </w:r>
          </w:p>
          <w:p w14:paraId="5C9B6314"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paragraph 6</w:t>
            </w:r>
          </w:p>
        </w:tc>
        <w:tc>
          <w:tcPr>
            <w:tcW w:w="7020" w:type="dxa"/>
            <w:tcBorders>
              <w:top w:val="nil"/>
              <w:left w:val="nil"/>
              <w:bottom w:val="single" w:sz="4" w:space="0" w:color="auto"/>
              <w:right w:val="single" w:sz="4" w:space="0" w:color="auto"/>
            </w:tcBorders>
            <w:hideMark/>
          </w:tcPr>
          <w:p w14:paraId="5034E36F"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We also noted the case for change currently lacked evidence of being informed by an equalities impact assessment. </w:t>
            </w:r>
          </w:p>
        </w:tc>
      </w:tr>
      <w:tr w:rsidR="00BF6C93" w14:paraId="1701F2BC" w14:textId="77777777" w:rsidTr="00BF6C93">
        <w:trPr>
          <w:trHeight w:val="1480"/>
        </w:trPr>
        <w:tc>
          <w:tcPr>
            <w:tcW w:w="540" w:type="dxa"/>
            <w:tcBorders>
              <w:top w:val="nil"/>
              <w:left w:val="single" w:sz="4" w:space="0" w:color="auto"/>
              <w:bottom w:val="single" w:sz="4" w:space="0" w:color="auto"/>
              <w:right w:val="single" w:sz="4" w:space="0" w:color="auto"/>
            </w:tcBorders>
            <w:noWrap/>
            <w:hideMark/>
          </w:tcPr>
          <w:p w14:paraId="3B0B98DD" w14:textId="77777777" w:rsidR="00BF6C93" w:rsidRDefault="00BF6C93">
            <w:pPr>
              <w:spacing w:after="0" w:line="240" w:lineRule="auto"/>
              <w:jc w:val="right"/>
              <w:rPr>
                <w:rFonts w:eastAsia="Times New Roman" w:cs="Calibri"/>
                <w:color w:val="000000"/>
                <w:lang w:eastAsia="en-GB"/>
              </w:rPr>
            </w:pPr>
            <w:r>
              <w:rPr>
                <w:rFonts w:eastAsia="Times New Roman" w:cs="Calibri"/>
                <w:color w:val="000000"/>
                <w:lang w:eastAsia="en-GB"/>
              </w:rPr>
              <w:t>2</w:t>
            </w:r>
          </w:p>
        </w:tc>
        <w:tc>
          <w:tcPr>
            <w:tcW w:w="2040" w:type="dxa"/>
            <w:tcBorders>
              <w:top w:val="nil"/>
              <w:left w:val="nil"/>
              <w:bottom w:val="single" w:sz="4" w:space="0" w:color="auto"/>
              <w:right w:val="single" w:sz="4" w:space="0" w:color="auto"/>
            </w:tcBorders>
            <w:noWrap/>
            <w:hideMark/>
          </w:tcPr>
          <w:p w14:paraId="46F43871"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page 6 </w:t>
            </w:r>
          </w:p>
          <w:p w14:paraId="22261EF2"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paragraph 4</w:t>
            </w:r>
          </w:p>
        </w:tc>
        <w:tc>
          <w:tcPr>
            <w:tcW w:w="7020" w:type="dxa"/>
            <w:tcBorders>
              <w:top w:val="nil"/>
              <w:left w:val="nil"/>
              <w:bottom w:val="single" w:sz="4" w:space="0" w:color="auto"/>
              <w:right w:val="single" w:sz="4" w:space="0" w:color="auto"/>
            </w:tcBorders>
            <w:hideMark/>
          </w:tcPr>
          <w:p w14:paraId="2B7DDFDD"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Travel and transport implications for patients, carers and families and the impact on equalities are important factors in considering how the model could be delivered and options for doing so; we identified several areas where there could be a risk of inequalities increasing.</w:t>
            </w:r>
          </w:p>
        </w:tc>
      </w:tr>
      <w:tr w:rsidR="00BF6C93" w14:paraId="419FAC1C" w14:textId="77777777" w:rsidTr="00BF6C93">
        <w:trPr>
          <w:trHeight w:val="1390"/>
        </w:trPr>
        <w:tc>
          <w:tcPr>
            <w:tcW w:w="540" w:type="dxa"/>
            <w:tcBorders>
              <w:top w:val="nil"/>
              <w:left w:val="single" w:sz="4" w:space="0" w:color="auto"/>
              <w:bottom w:val="single" w:sz="4" w:space="0" w:color="auto"/>
              <w:right w:val="single" w:sz="4" w:space="0" w:color="auto"/>
            </w:tcBorders>
            <w:noWrap/>
            <w:hideMark/>
          </w:tcPr>
          <w:p w14:paraId="40C9DAC8" w14:textId="77777777" w:rsidR="00BF6C93" w:rsidRDefault="00BF6C93">
            <w:pPr>
              <w:spacing w:after="0" w:line="240" w:lineRule="auto"/>
              <w:jc w:val="right"/>
              <w:rPr>
                <w:rFonts w:eastAsia="Times New Roman" w:cs="Calibri"/>
                <w:color w:val="000000"/>
                <w:lang w:eastAsia="en-GB"/>
              </w:rPr>
            </w:pPr>
            <w:r>
              <w:rPr>
                <w:rFonts w:eastAsia="Times New Roman" w:cs="Calibri"/>
                <w:color w:val="000000"/>
                <w:lang w:eastAsia="en-GB"/>
              </w:rPr>
              <w:t>3</w:t>
            </w:r>
          </w:p>
        </w:tc>
        <w:tc>
          <w:tcPr>
            <w:tcW w:w="2040" w:type="dxa"/>
            <w:tcBorders>
              <w:top w:val="nil"/>
              <w:left w:val="nil"/>
              <w:bottom w:val="single" w:sz="4" w:space="0" w:color="auto"/>
              <w:right w:val="single" w:sz="4" w:space="0" w:color="auto"/>
            </w:tcBorders>
            <w:noWrap/>
            <w:hideMark/>
          </w:tcPr>
          <w:p w14:paraId="1ADB053F"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page12 </w:t>
            </w:r>
          </w:p>
          <w:p w14:paraId="5F650C84"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paragraph 3</w:t>
            </w:r>
          </w:p>
        </w:tc>
        <w:tc>
          <w:tcPr>
            <w:tcW w:w="7020" w:type="dxa"/>
            <w:tcBorders>
              <w:top w:val="nil"/>
              <w:left w:val="nil"/>
              <w:bottom w:val="single" w:sz="4" w:space="0" w:color="auto"/>
              <w:right w:val="single" w:sz="4" w:space="0" w:color="auto"/>
            </w:tcBorders>
            <w:hideMark/>
          </w:tcPr>
          <w:p w14:paraId="429DFA7F"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We did not see any evidence that an equalities assessment has informed the case for change, including through the modelling of demographic growth and forecasts of future demand. Overall, we felt that equalities information provided for this review was weak.</w:t>
            </w:r>
          </w:p>
        </w:tc>
      </w:tr>
      <w:tr w:rsidR="00BF6C93" w14:paraId="025BBA47" w14:textId="77777777" w:rsidTr="00BF6C93">
        <w:trPr>
          <w:trHeight w:val="3120"/>
        </w:trPr>
        <w:tc>
          <w:tcPr>
            <w:tcW w:w="540" w:type="dxa"/>
            <w:tcBorders>
              <w:top w:val="nil"/>
              <w:left w:val="single" w:sz="4" w:space="0" w:color="auto"/>
              <w:bottom w:val="single" w:sz="4" w:space="0" w:color="auto"/>
              <w:right w:val="single" w:sz="4" w:space="0" w:color="auto"/>
            </w:tcBorders>
            <w:noWrap/>
            <w:hideMark/>
          </w:tcPr>
          <w:p w14:paraId="259A7D13" w14:textId="77777777" w:rsidR="00BF6C93" w:rsidRDefault="00BF6C93">
            <w:pPr>
              <w:spacing w:after="0" w:line="240" w:lineRule="auto"/>
              <w:jc w:val="right"/>
              <w:rPr>
                <w:rFonts w:eastAsia="Times New Roman" w:cs="Calibri"/>
                <w:color w:val="000000"/>
                <w:lang w:eastAsia="en-GB"/>
              </w:rPr>
            </w:pPr>
            <w:r>
              <w:rPr>
                <w:rFonts w:eastAsia="Times New Roman" w:cs="Calibri"/>
                <w:color w:val="000000"/>
                <w:lang w:eastAsia="en-GB"/>
              </w:rPr>
              <w:t>4</w:t>
            </w:r>
          </w:p>
        </w:tc>
        <w:tc>
          <w:tcPr>
            <w:tcW w:w="2040" w:type="dxa"/>
            <w:tcBorders>
              <w:top w:val="nil"/>
              <w:left w:val="nil"/>
              <w:bottom w:val="single" w:sz="4" w:space="0" w:color="auto"/>
              <w:right w:val="single" w:sz="4" w:space="0" w:color="auto"/>
            </w:tcBorders>
            <w:noWrap/>
            <w:hideMark/>
          </w:tcPr>
          <w:p w14:paraId="32BCFFA5"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page 17 </w:t>
            </w:r>
          </w:p>
          <w:p w14:paraId="17A82A32"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paragraph 1</w:t>
            </w:r>
          </w:p>
        </w:tc>
        <w:tc>
          <w:tcPr>
            <w:tcW w:w="7020" w:type="dxa"/>
            <w:tcBorders>
              <w:top w:val="nil"/>
              <w:left w:val="nil"/>
              <w:bottom w:val="single" w:sz="4" w:space="0" w:color="auto"/>
              <w:right w:val="single" w:sz="4" w:space="0" w:color="auto"/>
            </w:tcBorders>
            <w:vAlign w:val="bottom"/>
            <w:hideMark/>
          </w:tcPr>
          <w:p w14:paraId="29677E0E"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Based on the evidence we saw, equalities issues have not been sufficiently explored in the case for change. These include general issues such as travel times and costs (and any socioeconomic impact for specific population groups), disease specific issues such as complex medical care, readmissions etc and patient population issues such as such as mental health, learning disabilities, vulnerable groups and age. There is limited information about any current inequalities in relation to elective orthopaedic care or the implications of future demographic changes, particularly at a borough level where there is likely to be greater variance than for south east London as a whole.  </w:t>
            </w:r>
          </w:p>
        </w:tc>
      </w:tr>
      <w:tr w:rsidR="00BF6C93" w14:paraId="7823586B" w14:textId="77777777" w:rsidTr="00BF6C93">
        <w:trPr>
          <w:trHeight w:val="1620"/>
        </w:trPr>
        <w:tc>
          <w:tcPr>
            <w:tcW w:w="540" w:type="dxa"/>
            <w:tcBorders>
              <w:top w:val="nil"/>
              <w:left w:val="single" w:sz="4" w:space="0" w:color="auto"/>
              <w:bottom w:val="single" w:sz="4" w:space="0" w:color="auto"/>
              <w:right w:val="single" w:sz="4" w:space="0" w:color="auto"/>
            </w:tcBorders>
            <w:noWrap/>
            <w:hideMark/>
          </w:tcPr>
          <w:p w14:paraId="1405EB72" w14:textId="77777777" w:rsidR="00BF6C93" w:rsidRDefault="00BF6C93">
            <w:pPr>
              <w:spacing w:after="0" w:line="240" w:lineRule="auto"/>
              <w:jc w:val="right"/>
              <w:rPr>
                <w:rFonts w:eastAsia="Times New Roman" w:cs="Calibri"/>
                <w:color w:val="000000"/>
                <w:lang w:eastAsia="en-GB"/>
              </w:rPr>
            </w:pPr>
            <w:r>
              <w:rPr>
                <w:rFonts w:eastAsia="Times New Roman" w:cs="Calibri"/>
                <w:color w:val="000000"/>
                <w:lang w:eastAsia="en-GB"/>
              </w:rPr>
              <w:t>5</w:t>
            </w:r>
          </w:p>
        </w:tc>
        <w:tc>
          <w:tcPr>
            <w:tcW w:w="2040" w:type="dxa"/>
            <w:tcBorders>
              <w:top w:val="nil"/>
              <w:left w:val="nil"/>
              <w:bottom w:val="single" w:sz="4" w:space="0" w:color="auto"/>
              <w:right w:val="single" w:sz="4" w:space="0" w:color="auto"/>
            </w:tcBorders>
            <w:hideMark/>
          </w:tcPr>
          <w:p w14:paraId="422629FE"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Page 18</w:t>
            </w:r>
          </w:p>
          <w:p w14:paraId="4D25BAE2"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paragraph 3 </w:t>
            </w:r>
          </w:p>
          <w:p w14:paraId="3B7F4020"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bullet point 3</w:t>
            </w:r>
          </w:p>
        </w:tc>
        <w:tc>
          <w:tcPr>
            <w:tcW w:w="7020" w:type="dxa"/>
            <w:tcBorders>
              <w:top w:val="nil"/>
              <w:left w:val="nil"/>
              <w:bottom w:val="single" w:sz="4" w:space="0" w:color="auto"/>
              <w:right w:val="single" w:sz="4" w:space="0" w:color="auto"/>
            </w:tcBorders>
            <w:vAlign w:val="bottom"/>
            <w:hideMark/>
          </w:tcPr>
          <w:p w14:paraId="1BCBE52B" w14:textId="77777777" w:rsidR="00BF6C93" w:rsidRDefault="00BF6C93">
            <w:pPr>
              <w:spacing w:after="0" w:line="240" w:lineRule="auto"/>
              <w:rPr>
                <w:rFonts w:eastAsia="Times New Roman" w:cs="Calibri"/>
                <w:color w:val="000000"/>
                <w:lang w:eastAsia="en-GB"/>
              </w:rPr>
            </w:pPr>
            <w:r>
              <w:rPr>
                <w:rFonts w:eastAsia="Times New Roman" w:cs="Calibri"/>
                <w:color w:val="000000"/>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w:t>
            </w:r>
          </w:p>
        </w:tc>
      </w:tr>
    </w:tbl>
    <w:p w14:paraId="7F03EABE" w14:textId="77777777" w:rsidR="00BF6C93" w:rsidRDefault="00BF6C93"/>
    <w:p w14:paraId="54516E30" w14:textId="77777777" w:rsidR="00BF6C93" w:rsidRDefault="00BF6C93"/>
    <w:bookmarkEnd w:id="0"/>
    <w:sectPr w:rsidR="00BF6C93" w:rsidSect="00BF6C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93"/>
    <w:rsid w:val="00082126"/>
    <w:rsid w:val="003D3043"/>
    <w:rsid w:val="008261A4"/>
    <w:rsid w:val="00AB1185"/>
    <w:rsid w:val="00AC2034"/>
    <w:rsid w:val="00B8132C"/>
    <w:rsid w:val="00BF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D9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9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4365">
      <w:bodyDiv w:val="1"/>
      <w:marLeft w:val="0"/>
      <w:marRight w:val="0"/>
      <w:marTop w:val="0"/>
      <w:marBottom w:val="0"/>
      <w:divBdr>
        <w:top w:val="none" w:sz="0" w:space="0" w:color="auto"/>
        <w:left w:val="none" w:sz="0" w:space="0" w:color="auto"/>
        <w:bottom w:val="none" w:sz="0" w:space="0" w:color="auto"/>
        <w:right w:val="none" w:sz="0" w:space="0" w:color="auto"/>
      </w:divBdr>
    </w:div>
    <w:div w:id="343360486">
      <w:bodyDiv w:val="1"/>
      <w:marLeft w:val="0"/>
      <w:marRight w:val="0"/>
      <w:marTop w:val="0"/>
      <w:marBottom w:val="0"/>
      <w:divBdr>
        <w:top w:val="none" w:sz="0" w:space="0" w:color="auto"/>
        <w:left w:val="none" w:sz="0" w:space="0" w:color="auto"/>
        <w:bottom w:val="none" w:sz="0" w:space="0" w:color="auto"/>
        <w:right w:val="none" w:sz="0" w:space="0" w:color="auto"/>
      </w:divBdr>
    </w:div>
    <w:div w:id="1088232214">
      <w:bodyDiv w:val="1"/>
      <w:marLeft w:val="0"/>
      <w:marRight w:val="0"/>
      <w:marTop w:val="0"/>
      <w:marBottom w:val="0"/>
      <w:divBdr>
        <w:top w:val="none" w:sz="0" w:space="0" w:color="auto"/>
        <w:left w:val="none" w:sz="0" w:space="0" w:color="auto"/>
        <w:bottom w:val="none" w:sz="0" w:space="0" w:color="auto"/>
        <w:right w:val="none" w:sz="0" w:space="0" w:color="auto"/>
      </w:divBdr>
    </w:div>
    <w:div w:id="1621840899">
      <w:bodyDiv w:val="1"/>
      <w:marLeft w:val="0"/>
      <w:marRight w:val="0"/>
      <w:marTop w:val="0"/>
      <w:marBottom w:val="0"/>
      <w:divBdr>
        <w:top w:val="none" w:sz="0" w:space="0" w:color="auto"/>
        <w:left w:val="none" w:sz="0" w:space="0" w:color="auto"/>
        <w:bottom w:val="none" w:sz="0" w:space="0" w:color="auto"/>
        <w:right w:val="none" w:sz="0" w:space="0" w:color="auto"/>
      </w:divBdr>
    </w:div>
    <w:div w:id="19718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2218</Words>
  <Characters>12647</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horler</dc:creator>
  <cp:lastModifiedBy>Olivia O'Sullivan</cp:lastModifiedBy>
  <cp:revision>3</cp:revision>
  <dcterms:created xsi:type="dcterms:W3CDTF">2016-10-09T11:00:00Z</dcterms:created>
  <dcterms:modified xsi:type="dcterms:W3CDTF">2016-10-09T11:41:00Z</dcterms:modified>
</cp:coreProperties>
</file>