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3" w:type="dxa"/>
        <w:tblInd w:w="93" w:type="dxa"/>
        <w:tblLook w:val="04A0" w:firstRow="1" w:lastRow="0" w:firstColumn="1" w:lastColumn="0" w:noHBand="0" w:noVBand="1"/>
      </w:tblPr>
      <w:tblGrid>
        <w:gridCol w:w="852"/>
        <w:gridCol w:w="40"/>
        <w:gridCol w:w="1180"/>
        <w:gridCol w:w="1180"/>
        <w:gridCol w:w="6791"/>
        <w:gridCol w:w="260"/>
      </w:tblGrid>
      <w:tr w:rsidR="008261A4" w14:paraId="0E6829ED" w14:textId="77777777" w:rsidTr="008261A4">
        <w:trPr>
          <w:trHeight w:val="650"/>
        </w:trPr>
        <w:tc>
          <w:tcPr>
            <w:tcW w:w="10303" w:type="dxa"/>
            <w:gridSpan w:val="6"/>
            <w:tcBorders>
              <w:top w:val="single" w:sz="4" w:space="0" w:color="auto"/>
              <w:left w:val="single" w:sz="4" w:space="0" w:color="auto"/>
              <w:bottom w:val="single" w:sz="4" w:space="0" w:color="auto"/>
              <w:right w:val="single" w:sz="4" w:space="0" w:color="auto"/>
            </w:tcBorders>
            <w:noWrap/>
          </w:tcPr>
          <w:p w14:paraId="607F4ADF" w14:textId="77777777" w:rsidR="008261A4" w:rsidRPr="008261A4" w:rsidRDefault="008261A4" w:rsidP="008261A4">
            <w:pPr>
              <w:spacing w:after="0" w:line="240" w:lineRule="auto"/>
              <w:rPr>
                <w:rFonts w:eastAsia="Times New Roman" w:cs="Calibri"/>
                <w:b/>
                <w:bCs/>
                <w:color w:val="000000"/>
                <w:sz w:val="24"/>
                <w:szCs w:val="24"/>
                <w:lang w:eastAsia="en-GB"/>
              </w:rPr>
            </w:pPr>
            <w:bookmarkStart w:id="0" w:name="_GoBack"/>
            <w:r w:rsidRPr="008261A4">
              <w:rPr>
                <w:rFonts w:eastAsia="Times New Roman" w:cs="Calibri"/>
                <w:b/>
                <w:bCs/>
                <w:color w:val="000000"/>
                <w:sz w:val="24"/>
                <w:szCs w:val="24"/>
                <w:lang w:eastAsia="en-GB"/>
              </w:rPr>
              <w:t>Analysis of Advice on Proposal for elective orthopaedic care in South East London</w:t>
            </w:r>
            <w:r w:rsidRPr="008261A4">
              <w:rPr>
                <w:rFonts w:eastAsia="Times New Roman" w:cs="Calibri"/>
                <w:b/>
                <w:bCs/>
                <w:color w:val="000000"/>
                <w:sz w:val="24"/>
                <w:szCs w:val="24"/>
                <w:lang w:eastAsia="en-GB"/>
              </w:rPr>
              <w:br/>
              <w:t xml:space="preserve"> London Clinical Senate Review June 2016 </w:t>
            </w:r>
          </w:p>
        </w:tc>
      </w:tr>
      <w:tr w:rsidR="00BF6C93" w14:paraId="13003AE2" w14:textId="77777777" w:rsidTr="008261A4">
        <w:trPr>
          <w:trHeight w:val="650"/>
        </w:trPr>
        <w:tc>
          <w:tcPr>
            <w:tcW w:w="852" w:type="dxa"/>
            <w:tcBorders>
              <w:top w:val="single" w:sz="4" w:space="0" w:color="auto"/>
              <w:left w:val="single" w:sz="4" w:space="0" w:color="auto"/>
              <w:bottom w:val="single" w:sz="4" w:space="0" w:color="auto"/>
              <w:right w:val="single" w:sz="4" w:space="0" w:color="auto"/>
            </w:tcBorders>
            <w:noWrap/>
            <w:hideMark/>
          </w:tcPr>
          <w:p w14:paraId="4D1D2590" w14:textId="77777777" w:rsidR="00BF6C93" w:rsidRDefault="00BF6C93">
            <w:pPr>
              <w:spacing w:after="0" w:line="240" w:lineRule="auto"/>
              <w:jc w:val="center"/>
              <w:rPr>
                <w:rFonts w:eastAsia="Times New Roman" w:cs="Calibri"/>
                <w:color w:val="000000"/>
                <w:sz w:val="24"/>
                <w:szCs w:val="24"/>
                <w:lang w:eastAsia="en-GB"/>
              </w:rPr>
            </w:pPr>
            <w:bookmarkStart w:id="1" w:name="RANGE!A1:C31"/>
            <w:r>
              <w:rPr>
                <w:rFonts w:eastAsia="Times New Roman" w:cs="Calibri"/>
                <w:color w:val="000000"/>
                <w:sz w:val="24"/>
                <w:szCs w:val="24"/>
                <w:lang w:eastAsia="en-GB"/>
              </w:rPr>
              <w:t> </w:t>
            </w:r>
            <w:bookmarkEnd w:id="1"/>
          </w:p>
        </w:tc>
        <w:tc>
          <w:tcPr>
            <w:tcW w:w="1220" w:type="dxa"/>
            <w:gridSpan w:val="2"/>
            <w:tcBorders>
              <w:top w:val="single" w:sz="4" w:space="0" w:color="auto"/>
              <w:left w:val="nil"/>
              <w:bottom w:val="single" w:sz="4" w:space="0" w:color="auto"/>
              <w:right w:val="single" w:sz="4" w:space="0" w:color="auto"/>
            </w:tcBorders>
            <w:vAlign w:val="bottom"/>
            <w:hideMark/>
          </w:tcPr>
          <w:p w14:paraId="7236F58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w:t>
            </w:r>
          </w:p>
        </w:tc>
        <w:tc>
          <w:tcPr>
            <w:tcW w:w="8231" w:type="dxa"/>
            <w:gridSpan w:val="3"/>
            <w:tcBorders>
              <w:top w:val="single" w:sz="4" w:space="0" w:color="auto"/>
              <w:left w:val="nil"/>
              <w:bottom w:val="single" w:sz="4" w:space="0" w:color="auto"/>
              <w:right w:val="single" w:sz="4" w:space="0" w:color="auto"/>
            </w:tcBorders>
            <w:hideMark/>
          </w:tcPr>
          <w:p w14:paraId="4177262C" w14:textId="77777777" w:rsidR="00BF6C93" w:rsidRDefault="00BF6C93">
            <w:pPr>
              <w:spacing w:after="0" w:line="240" w:lineRule="auto"/>
              <w:jc w:val="center"/>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30 requests for greater  development of the whole pathway</w:t>
            </w:r>
          </w:p>
        </w:tc>
      </w:tr>
      <w:tr w:rsidR="00BF6C93" w14:paraId="339EC89B" w14:textId="77777777" w:rsidTr="008261A4">
        <w:trPr>
          <w:trHeight w:val="1500"/>
        </w:trPr>
        <w:tc>
          <w:tcPr>
            <w:tcW w:w="852" w:type="dxa"/>
            <w:tcBorders>
              <w:top w:val="nil"/>
              <w:left w:val="single" w:sz="4" w:space="0" w:color="auto"/>
              <w:bottom w:val="single" w:sz="4" w:space="0" w:color="auto"/>
              <w:right w:val="single" w:sz="4" w:space="0" w:color="auto"/>
            </w:tcBorders>
            <w:noWrap/>
            <w:hideMark/>
          </w:tcPr>
          <w:p w14:paraId="0ADF9BD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w:t>
            </w:r>
          </w:p>
        </w:tc>
        <w:tc>
          <w:tcPr>
            <w:tcW w:w="1220" w:type="dxa"/>
            <w:gridSpan w:val="2"/>
            <w:tcBorders>
              <w:top w:val="nil"/>
              <w:left w:val="nil"/>
              <w:bottom w:val="single" w:sz="4" w:space="0" w:color="auto"/>
              <w:right w:val="single" w:sz="4" w:space="0" w:color="auto"/>
            </w:tcBorders>
            <w:hideMark/>
          </w:tcPr>
          <w:p w14:paraId="3F6B23C2"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5- paragraph 7</w:t>
            </w:r>
          </w:p>
        </w:tc>
        <w:tc>
          <w:tcPr>
            <w:tcW w:w="8231" w:type="dxa"/>
            <w:gridSpan w:val="3"/>
            <w:tcBorders>
              <w:top w:val="nil"/>
              <w:left w:val="nil"/>
              <w:bottom w:val="single" w:sz="4" w:space="0" w:color="auto"/>
              <w:right w:val="single" w:sz="4" w:space="0" w:color="auto"/>
            </w:tcBorders>
            <w:hideMark/>
          </w:tcPr>
          <w:p w14:paraId="0C47A55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The review team felt very strongly that the case for change should be developed further to explicitly consider the whole elective orthopaedic care pathway. We also noted the case for change currently lacked evidence of being informed by an equalities impact assessment. </w:t>
            </w:r>
          </w:p>
        </w:tc>
      </w:tr>
      <w:tr w:rsidR="00BF6C93" w14:paraId="0C779157" w14:textId="77777777" w:rsidTr="008261A4">
        <w:trPr>
          <w:trHeight w:val="1340"/>
        </w:trPr>
        <w:tc>
          <w:tcPr>
            <w:tcW w:w="852" w:type="dxa"/>
            <w:tcBorders>
              <w:top w:val="nil"/>
              <w:left w:val="single" w:sz="4" w:space="0" w:color="auto"/>
              <w:bottom w:val="single" w:sz="4" w:space="0" w:color="auto"/>
              <w:right w:val="single" w:sz="4" w:space="0" w:color="auto"/>
            </w:tcBorders>
            <w:noWrap/>
            <w:hideMark/>
          </w:tcPr>
          <w:p w14:paraId="6D82BF84"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w:t>
            </w:r>
          </w:p>
        </w:tc>
        <w:tc>
          <w:tcPr>
            <w:tcW w:w="1220" w:type="dxa"/>
            <w:gridSpan w:val="2"/>
            <w:tcBorders>
              <w:top w:val="nil"/>
              <w:left w:val="nil"/>
              <w:bottom w:val="single" w:sz="4" w:space="0" w:color="auto"/>
              <w:right w:val="single" w:sz="4" w:space="0" w:color="auto"/>
            </w:tcBorders>
            <w:hideMark/>
          </w:tcPr>
          <w:p w14:paraId="4BFA29A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6- paragraph 1</w:t>
            </w:r>
          </w:p>
        </w:tc>
        <w:tc>
          <w:tcPr>
            <w:tcW w:w="8231" w:type="dxa"/>
            <w:gridSpan w:val="3"/>
            <w:tcBorders>
              <w:top w:val="nil"/>
              <w:left w:val="nil"/>
              <w:bottom w:val="single" w:sz="4" w:space="0" w:color="auto"/>
              <w:right w:val="single" w:sz="4" w:space="0" w:color="auto"/>
            </w:tcBorders>
            <w:hideMark/>
          </w:tcPr>
          <w:p w14:paraId="571CF1D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Clinical engagement to date has mainly involved orthopaedic surgeons from the acute providers and now needs to be broadened to involve clinicians across the pathway, including interdependent services and primary care. </w:t>
            </w:r>
          </w:p>
        </w:tc>
      </w:tr>
      <w:tr w:rsidR="00BF6C93" w14:paraId="50E0FEF8" w14:textId="77777777" w:rsidTr="008261A4">
        <w:trPr>
          <w:trHeight w:val="1790"/>
        </w:trPr>
        <w:tc>
          <w:tcPr>
            <w:tcW w:w="852" w:type="dxa"/>
            <w:tcBorders>
              <w:top w:val="nil"/>
              <w:left w:val="single" w:sz="4" w:space="0" w:color="auto"/>
              <w:bottom w:val="single" w:sz="4" w:space="0" w:color="auto"/>
              <w:right w:val="single" w:sz="4" w:space="0" w:color="auto"/>
            </w:tcBorders>
            <w:noWrap/>
            <w:hideMark/>
          </w:tcPr>
          <w:p w14:paraId="620F7937"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3</w:t>
            </w:r>
          </w:p>
        </w:tc>
        <w:tc>
          <w:tcPr>
            <w:tcW w:w="1220" w:type="dxa"/>
            <w:gridSpan w:val="2"/>
            <w:tcBorders>
              <w:top w:val="nil"/>
              <w:left w:val="nil"/>
              <w:bottom w:val="single" w:sz="4" w:space="0" w:color="auto"/>
              <w:right w:val="single" w:sz="4" w:space="0" w:color="auto"/>
            </w:tcBorders>
            <w:hideMark/>
          </w:tcPr>
          <w:p w14:paraId="06AA1F2E"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6- paragraph 3</w:t>
            </w:r>
          </w:p>
        </w:tc>
        <w:tc>
          <w:tcPr>
            <w:tcW w:w="8231" w:type="dxa"/>
            <w:gridSpan w:val="3"/>
            <w:tcBorders>
              <w:top w:val="nil"/>
              <w:left w:val="nil"/>
              <w:bottom w:val="single" w:sz="4" w:space="0" w:color="auto"/>
              <w:right w:val="single" w:sz="4" w:space="0" w:color="auto"/>
            </w:tcBorders>
            <w:hideMark/>
          </w:tcPr>
          <w:p w14:paraId="477AE647"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As with the case for change the model of care needs to cover the whole pathway, including community services and primary care. Achieving the full range of benefits envisaged will require this approach. For example, variation in availability and provision of community services’ is a concern, which risks inequalities in pathways to and from proposed elective orthopaedic centres.</w:t>
            </w:r>
          </w:p>
        </w:tc>
      </w:tr>
      <w:tr w:rsidR="00BF6C93" w14:paraId="48CECE98" w14:textId="77777777" w:rsidTr="008261A4">
        <w:trPr>
          <w:trHeight w:val="1430"/>
        </w:trPr>
        <w:tc>
          <w:tcPr>
            <w:tcW w:w="852" w:type="dxa"/>
            <w:tcBorders>
              <w:top w:val="nil"/>
              <w:left w:val="single" w:sz="4" w:space="0" w:color="auto"/>
              <w:bottom w:val="single" w:sz="4" w:space="0" w:color="auto"/>
              <w:right w:val="single" w:sz="4" w:space="0" w:color="auto"/>
            </w:tcBorders>
            <w:noWrap/>
            <w:hideMark/>
          </w:tcPr>
          <w:p w14:paraId="62A24D61"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4</w:t>
            </w:r>
          </w:p>
        </w:tc>
        <w:tc>
          <w:tcPr>
            <w:tcW w:w="1220" w:type="dxa"/>
            <w:gridSpan w:val="2"/>
            <w:tcBorders>
              <w:top w:val="nil"/>
              <w:left w:val="nil"/>
              <w:bottom w:val="single" w:sz="4" w:space="0" w:color="auto"/>
              <w:right w:val="single" w:sz="4" w:space="0" w:color="auto"/>
            </w:tcBorders>
            <w:hideMark/>
          </w:tcPr>
          <w:p w14:paraId="077F618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10- paragraph 2</w:t>
            </w:r>
          </w:p>
        </w:tc>
        <w:tc>
          <w:tcPr>
            <w:tcW w:w="8231" w:type="dxa"/>
            <w:gridSpan w:val="3"/>
            <w:tcBorders>
              <w:top w:val="nil"/>
              <w:left w:val="nil"/>
              <w:bottom w:val="single" w:sz="4" w:space="0" w:color="auto"/>
              <w:right w:val="single" w:sz="4" w:space="0" w:color="auto"/>
            </w:tcBorders>
            <w:hideMark/>
          </w:tcPr>
          <w:p w14:paraId="3CCE137F"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The review team believes however that in seeking to make these improvements, the whole planned care pathway needs to be considered</w:t>
            </w:r>
          </w:p>
        </w:tc>
      </w:tr>
      <w:tr w:rsidR="00BF6C93" w14:paraId="41621179" w14:textId="77777777" w:rsidTr="008261A4">
        <w:trPr>
          <w:trHeight w:val="1400"/>
        </w:trPr>
        <w:tc>
          <w:tcPr>
            <w:tcW w:w="852" w:type="dxa"/>
            <w:tcBorders>
              <w:top w:val="nil"/>
              <w:left w:val="single" w:sz="4" w:space="0" w:color="auto"/>
              <w:bottom w:val="single" w:sz="4" w:space="0" w:color="auto"/>
              <w:right w:val="single" w:sz="4" w:space="0" w:color="auto"/>
            </w:tcBorders>
            <w:noWrap/>
            <w:hideMark/>
          </w:tcPr>
          <w:p w14:paraId="40D886CB"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5</w:t>
            </w:r>
          </w:p>
        </w:tc>
        <w:tc>
          <w:tcPr>
            <w:tcW w:w="1220" w:type="dxa"/>
            <w:gridSpan w:val="2"/>
            <w:tcBorders>
              <w:top w:val="nil"/>
              <w:left w:val="nil"/>
              <w:bottom w:val="single" w:sz="4" w:space="0" w:color="auto"/>
              <w:right w:val="single" w:sz="4" w:space="0" w:color="auto"/>
            </w:tcBorders>
            <w:hideMark/>
          </w:tcPr>
          <w:p w14:paraId="4DB7F0F6"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10- paragraph 2</w:t>
            </w:r>
          </w:p>
        </w:tc>
        <w:tc>
          <w:tcPr>
            <w:tcW w:w="8231" w:type="dxa"/>
            <w:gridSpan w:val="3"/>
            <w:tcBorders>
              <w:top w:val="nil"/>
              <w:left w:val="nil"/>
              <w:bottom w:val="single" w:sz="4" w:space="0" w:color="auto"/>
              <w:right w:val="single" w:sz="4" w:space="0" w:color="auto"/>
            </w:tcBorders>
            <w:hideMark/>
          </w:tcPr>
          <w:p w14:paraId="24A3F7B1"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For people on a surgical pathway, what happens before and after surgery can be equally important in achieving the best possible outcome. This view has underpinned our consideration of the case for change and the proposed model of care and our advice.</w:t>
            </w:r>
          </w:p>
        </w:tc>
      </w:tr>
      <w:tr w:rsidR="00BF6C93" w14:paraId="79CB6C8F" w14:textId="77777777" w:rsidTr="008261A4">
        <w:trPr>
          <w:trHeight w:val="1540"/>
        </w:trPr>
        <w:tc>
          <w:tcPr>
            <w:tcW w:w="852" w:type="dxa"/>
            <w:tcBorders>
              <w:top w:val="nil"/>
              <w:left w:val="single" w:sz="4" w:space="0" w:color="auto"/>
              <w:bottom w:val="single" w:sz="4" w:space="0" w:color="auto"/>
              <w:right w:val="single" w:sz="4" w:space="0" w:color="auto"/>
            </w:tcBorders>
            <w:noWrap/>
            <w:hideMark/>
          </w:tcPr>
          <w:p w14:paraId="6A45366E"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6</w:t>
            </w:r>
          </w:p>
        </w:tc>
        <w:tc>
          <w:tcPr>
            <w:tcW w:w="1220" w:type="dxa"/>
            <w:gridSpan w:val="2"/>
            <w:tcBorders>
              <w:top w:val="nil"/>
              <w:left w:val="nil"/>
              <w:bottom w:val="single" w:sz="4" w:space="0" w:color="auto"/>
              <w:right w:val="single" w:sz="4" w:space="0" w:color="auto"/>
            </w:tcBorders>
            <w:hideMark/>
          </w:tcPr>
          <w:p w14:paraId="7C46143E"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11- paragraph 4</w:t>
            </w:r>
          </w:p>
        </w:tc>
        <w:tc>
          <w:tcPr>
            <w:tcW w:w="8231" w:type="dxa"/>
            <w:gridSpan w:val="3"/>
            <w:tcBorders>
              <w:top w:val="nil"/>
              <w:left w:val="nil"/>
              <w:bottom w:val="single" w:sz="4" w:space="0" w:color="auto"/>
              <w:right w:val="single" w:sz="4" w:space="0" w:color="auto"/>
            </w:tcBorders>
            <w:hideMark/>
          </w:tcPr>
          <w:p w14:paraId="27837926"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It is also relevant that the data is more focused on secondary care with a relative paucity of community and primary care information. Analysis of referral variation would be interesting (at a practice and even GP level) and may result in a different emphasis to provision going forward. </w:t>
            </w:r>
          </w:p>
        </w:tc>
      </w:tr>
      <w:tr w:rsidR="00BF6C93" w14:paraId="3B861572" w14:textId="77777777" w:rsidTr="008261A4">
        <w:trPr>
          <w:trHeight w:val="1800"/>
        </w:trPr>
        <w:tc>
          <w:tcPr>
            <w:tcW w:w="852" w:type="dxa"/>
            <w:tcBorders>
              <w:top w:val="nil"/>
              <w:left w:val="single" w:sz="4" w:space="0" w:color="auto"/>
              <w:bottom w:val="single" w:sz="4" w:space="0" w:color="auto"/>
              <w:right w:val="single" w:sz="4" w:space="0" w:color="auto"/>
            </w:tcBorders>
            <w:noWrap/>
            <w:hideMark/>
          </w:tcPr>
          <w:p w14:paraId="0C10AE47"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7</w:t>
            </w:r>
          </w:p>
        </w:tc>
        <w:tc>
          <w:tcPr>
            <w:tcW w:w="1220" w:type="dxa"/>
            <w:gridSpan w:val="2"/>
            <w:tcBorders>
              <w:top w:val="nil"/>
              <w:left w:val="nil"/>
              <w:bottom w:val="single" w:sz="4" w:space="0" w:color="auto"/>
              <w:right w:val="single" w:sz="4" w:space="0" w:color="auto"/>
            </w:tcBorders>
            <w:hideMark/>
          </w:tcPr>
          <w:p w14:paraId="76FA84E0"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13- paragraph 3</w:t>
            </w:r>
          </w:p>
        </w:tc>
        <w:tc>
          <w:tcPr>
            <w:tcW w:w="8231" w:type="dxa"/>
            <w:gridSpan w:val="3"/>
            <w:tcBorders>
              <w:top w:val="nil"/>
              <w:left w:val="nil"/>
              <w:bottom w:val="single" w:sz="4" w:space="0" w:color="auto"/>
              <w:right w:val="single" w:sz="4" w:space="0" w:color="auto"/>
            </w:tcBorders>
            <w:hideMark/>
          </w:tcPr>
          <w:p w14:paraId="03C8703A"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As noted earlier, the overarching case for change focuses on improving quality by consolidating elective orthopaedic surgery and, whilst the case for change acknowledges that this cannot happen in isolation13 it does not currently address these wider pathways issues. Some stakeholders felt this to be a significant gap and the review team shares this view.</w:t>
            </w:r>
          </w:p>
        </w:tc>
      </w:tr>
      <w:tr w:rsidR="00BF6C93" w14:paraId="7219816B" w14:textId="77777777" w:rsidTr="008261A4">
        <w:trPr>
          <w:trHeight w:val="930"/>
        </w:trPr>
        <w:tc>
          <w:tcPr>
            <w:tcW w:w="852" w:type="dxa"/>
            <w:tcBorders>
              <w:top w:val="nil"/>
              <w:left w:val="single" w:sz="4" w:space="0" w:color="auto"/>
              <w:bottom w:val="single" w:sz="4" w:space="0" w:color="auto"/>
              <w:right w:val="single" w:sz="4" w:space="0" w:color="auto"/>
            </w:tcBorders>
            <w:noWrap/>
            <w:hideMark/>
          </w:tcPr>
          <w:p w14:paraId="21F18EFB"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8</w:t>
            </w:r>
          </w:p>
        </w:tc>
        <w:tc>
          <w:tcPr>
            <w:tcW w:w="1220" w:type="dxa"/>
            <w:gridSpan w:val="2"/>
            <w:tcBorders>
              <w:top w:val="nil"/>
              <w:left w:val="nil"/>
              <w:bottom w:val="single" w:sz="4" w:space="0" w:color="auto"/>
              <w:right w:val="single" w:sz="4" w:space="0" w:color="auto"/>
            </w:tcBorders>
            <w:hideMark/>
          </w:tcPr>
          <w:p w14:paraId="4B07017C"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14 -whole page</w:t>
            </w:r>
          </w:p>
        </w:tc>
        <w:tc>
          <w:tcPr>
            <w:tcW w:w="8231" w:type="dxa"/>
            <w:gridSpan w:val="3"/>
            <w:tcBorders>
              <w:top w:val="nil"/>
              <w:left w:val="nil"/>
              <w:bottom w:val="single" w:sz="4" w:space="0" w:color="auto"/>
              <w:right w:val="single" w:sz="4" w:space="0" w:color="auto"/>
            </w:tcBorders>
            <w:hideMark/>
          </w:tcPr>
          <w:p w14:paraId="66D0C4C4"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Differences and variability………..ongoing medical problems exist</w:t>
            </w:r>
          </w:p>
        </w:tc>
      </w:tr>
      <w:tr w:rsidR="00BF6C93" w14:paraId="184769FB" w14:textId="77777777" w:rsidTr="008261A4">
        <w:trPr>
          <w:trHeight w:val="1620"/>
        </w:trPr>
        <w:tc>
          <w:tcPr>
            <w:tcW w:w="852" w:type="dxa"/>
            <w:tcBorders>
              <w:top w:val="nil"/>
              <w:left w:val="single" w:sz="4" w:space="0" w:color="auto"/>
              <w:bottom w:val="single" w:sz="4" w:space="0" w:color="auto"/>
              <w:right w:val="single" w:sz="4" w:space="0" w:color="auto"/>
            </w:tcBorders>
            <w:noWrap/>
            <w:hideMark/>
          </w:tcPr>
          <w:p w14:paraId="5786ED7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9</w:t>
            </w:r>
          </w:p>
        </w:tc>
        <w:tc>
          <w:tcPr>
            <w:tcW w:w="1220" w:type="dxa"/>
            <w:gridSpan w:val="2"/>
            <w:tcBorders>
              <w:top w:val="nil"/>
              <w:left w:val="nil"/>
              <w:bottom w:val="single" w:sz="4" w:space="0" w:color="auto"/>
              <w:right w:val="single" w:sz="4" w:space="0" w:color="auto"/>
            </w:tcBorders>
            <w:hideMark/>
          </w:tcPr>
          <w:p w14:paraId="6E51CBEB"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page15- third bullet point</w:t>
            </w:r>
          </w:p>
        </w:tc>
        <w:tc>
          <w:tcPr>
            <w:tcW w:w="8231" w:type="dxa"/>
            <w:gridSpan w:val="3"/>
            <w:tcBorders>
              <w:top w:val="nil"/>
              <w:left w:val="nil"/>
              <w:bottom w:val="single" w:sz="4" w:space="0" w:color="auto"/>
              <w:right w:val="single" w:sz="4" w:space="0" w:color="auto"/>
            </w:tcBorders>
            <w:hideMark/>
          </w:tcPr>
          <w:p w14:paraId="5308EBB5"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Changes impacting on primary care (and their feasibility) were not specified, for example any changes in volume of post-operative wound care or dressings that might arise from the fact that post discharge travel arrangements could make this more attractive. </w:t>
            </w:r>
          </w:p>
        </w:tc>
      </w:tr>
      <w:tr w:rsidR="00BF6C93" w14:paraId="47FBF866" w14:textId="77777777" w:rsidTr="008261A4">
        <w:trPr>
          <w:trHeight w:val="2120"/>
        </w:trPr>
        <w:tc>
          <w:tcPr>
            <w:tcW w:w="852" w:type="dxa"/>
            <w:tcBorders>
              <w:top w:val="nil"/>
              <w:left w:val="single" w:sz="4" w:space="0" w:color="auto"/>
              <w:bottom w:val="single" w:sz="4" w:space="0" w:color="auto"/>
              <w:right w:val="single" w:sz="4" w:space="0" w:color="auto"/>
            </w:tcBorders>
            <w:noWrap/>
            <w:hideMark/>
          </w:tcPr>
          <w:p w14:paraId="06B972E4"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10</w:t>
            </w:r>
          </w:p>
        </w:tc>
        <w:tc>
          <w:tcPr>
            <w:tcW w:w="1220" w:type="dxa"/>
            <w:gridSpan w:val="2"/>
            <w:tcBorders>
              <w:top w:val="nil"/>
              <w:left w:val="nil"/>
              <w:bottom w:val="single" w:sz="4" w:space="0" w:color="auto"/>
              <w:right w:val="single" w:sz="4" w:space="0" w:color="auto"/>
            </w:tcBorders>
            <w:hideMark/>
          </w:tcPr>
          <w:p w14:paraId="13794ADB"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15- paragraph 2</w:t>
            </w:r>
          </w:p>
        </w:tc>
        <w:tc>
          <w:tcPr>
            <w:tcW w:w="8231" w:type="dxa"/>
            <w:gridSpan w:val="3"/>
            <w:tcBorders>
              <w:top w:val="nil"/>
              <w:left w:val="nil"/>
              <w:bottom w:val="single" w:sz="4" w:space="0" w:color="auto"/>
              <w:right w:val="single" w:sz="4" w:space="0" w:color="auto"/>
            </w:tcBorders>
            <w:hideMark/>
          </w:tcPr>
          <w:p w14:paraId="2F39659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Other clinicians we met have had very little involvement in the work so far and whilst agreeing with the case for addressing current pressures, and the principles of consolidation, they felt there were other areas of the pathway (noted above) that would need to be addressed alongside any changes to inpatient care in order to achieve the full range of benefits envisaged.  </w:t>
            </w:r>
          </w:p>
        </w:tc>
      </w:tr>
      <w:tr w:rsidR="00BF6C93" w14:paraId="2EB1FD1E" w14:textId="77777777" w:rsidTr="008261A4">
        <w:trPr>
          <w:trHeight w:val="1200"/>
        </w:trPr>
        <w:tc>
          <w:tcPr>
            <w:tcW w:w="852" w:type="dxa"/>
            <w:tcBorders>
              <w:top w:val="nil"/>
              <w:left w:val="single" w:sz="4" w:space="0" w:color="auto"/>
              <w:bottom w:val="single" w:sz="4" w:space="0" w:color="auto"/>
              <w:right w:val="single" w:sz="4" w:space="0" w:color="auto"/>
            </w:tcBorders>
            <w:noWrap/>
            <w:hideMark/>
          </w:tcPr>
          <w:p w14:paraId="28753C05"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11</w:t>
            </w:r>
          </w:p>
        </w:tc>
        <w:tc>
          <w:tcPr>
            <w:tcW w:w="1220" w:type="dxa"/>
            <w:gridSpan w:val="2"/>
            <w:tcBorders>
              <w:top w:val="nil"/>
              <w:left w:val="nil"/>
              <w:bottom w:val="single" w:sz="4" w:space="0" w:color="auto"/>
              <w:right w:val="single" w:sz="4" w:space="0" w:color="auto"/>
            </w:tcBorders>
            <w:hideMark/>
          </w:tcPr>
          <w:p w14:paraId="348C52E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15- paragraph 3</w:t>
            </w:r>
          </w:p>
        </w:tc>
        <w:tc>
          <w:tcPr>
            <w:tcW w:w="8231" w:type="dxa"/>
            <w:gridSpan w:val="3"/>
            <w:tcBorders>
              <w:top w:val="nil"/>
              <w:left w:val="nil"/>
              <w:bottom w:val="single" w:sz="4" w:space="0" w:color="auto"/>
              <w:right w:val="single" w:sz="4" w:space="0" w:color="auto"/>
            </w:tcBorders>
            <w:hideMark/>
          </w:tcPr>
          <w:p w14:paraId="0656100A"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Particular concerns related to the lack of reference to local services in the community including links to social care and primary care. </w:t>
            </w:r>
          </w:p>
        </w:tc>
      </w:tr>
      <w:tr w:rsidR="00BF6C93" w14:paraId="5E28AEE8" w14:textId="77777777" w:rsidTr="008261A4">
        <w:trPr>
          <w:trHeight w:val="3160"/>
        </w:trPr>
        <w:tc>
          <w:tcPr>
            <w:tcW w:w="852" w:type="dxa"/>
            <w:tcBorders>
              <w:top w:val="nil"/>
              <w:left w:val="single" w:sz="4" w:space="0" w:color="auto"/>
              <w:bottom w:val="single" w:sz="4" w:space="0" w:color="auto"/>
              <w:right w:val="single" w:sz="4" w:space="0" w:color="auto"/>
            </w:tcBorders>
            <w:noWrap/>
            <w:hideMark/>
          </w:tcPr>
          <w:p w14:paraId="7D482530"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12</w:t>
            </w:r>
          </w:p>
        </w:tc>
        <w:tc>
          <w:tcPr>
            <w:tcW w:w="1220" w:type="dxa"/>
            <w:gridSpan w:val="2"/>
            <w:tcBorders>
              <w:top w:val="nil"/>
              <w:left w:val="nil"/>
              <w:bottom w:val="single" w:sz="4" w:space="0" w:color="auto"/>
              <w:right w:val="single" w:sz="4" w:space="0" w:color="auto"/>
            </w:tcBorders>
            <w:hideMark/>
          </w:tcPr>
          <w:p w14:paraId="53C7929B"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17- paragraph 6</w:t>
            </w:r>
          </w:p>
        </w:tc>
        <w:tc>
          <w:tcPr>
            <w:tcW w:w="8231" w:type="dxa"/>
            <w:gridSpan w:val="3"/>
            <w:tcBorders>
              <w:top w:val="nil"/>
              <w:left w:val="nil"/>
              <w:bottom w:val="single" w:sz="4" w:space="0" w:color="auto"/>
              <w:right w:val="single" w:sz="4" w:space="0" w:color="auto"/>
            </w:tcBorders>
            <w:hideMark/>
          </w:tcPr>
          <w:p w14:paraId="2A501B01"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Although there clearly are challenges within the pathway in addition to those identified in the peri-operative stage, the case for change has not yet considered them. Tackling the current variation in approaches, protocols and processes for elective orthopaedic care, particularly within community services across south east London, is a key area. The case for change does acknowledge this16, although it is not clear how it will be taken forward. Failure to do this risks limiting benefits realised from improvements to the inpatient part of the pathway, or creating greater inequality in access and provision of care. Increasing standardisation will need a collaborative approach and should seek to maximise benefit from the many examples of good practice that already exist.  </w:t>
            </w:r>
          </w:p>
        </w:tc>
      </w:tr>
      <w:tr w:rsidR="00BF6C93" w14:paraId="22B8CC1E" w14:textId="77777777" w:rsidTr="008261A4">
        <w:trPr>
          <w:trHeight w:val="1330"/>
        </w:trPr>
        <w:tc>
          <w:tcPr>
            <w:tcW w:w="852" w:type="dxa"/>
            <w:tcBorders>
              <w:top w:val="nil"/>
              <w:left w:val="single" w:sz="4" w:space="0" w:color="auto"/>
              <w:bottom w:val="single" w:sz="4" w:space="0" w:color="auto"/>
              <w:right w:val="single" w:sz="4" w:space="0" w:color="auto"/>
            </w:tcBorders>
            <w:noWrap/>
            <w:hideMark/>
          </w:tcPr>
          <w:p w14:paraId="59CAE74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13</w:t>
            </w:r>
          </w:p>
        </w:tc>
        <w:tc>
          <w:tcPr>
            <w:tcW w:w="1220" w:type="dxa"/>
            <w:gridSpan w:val="2"/>
            <w:tcBorders>
              <w:top w:val="nil"/>
              <w:left w:val="nil"/>
              <w:bottom w:val="single" w:sz="4" w:space="0" w:color="auto"/>
              <w:right w:val="single" w:sz="4" w:space="0" w:color="auto"/>
            </w:tcBorders>
            <w:hideMark/>
          </w:tcPr>
          <w:p w14:paraId="581859D3"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page18- paragraph 3</w:t>
            </w:r>
          </w:p>
        </w:tc>
        <w:tc>
          <w:tcPr>
            <w:tcW w:w="8231" w:type="dxa"/>
            <w:gridSpan w:val="3"/>
            <w:tcBorders>
              <w:top w:val="nil"/>
              <w:left w:val="nil"/>
              <w:bottom w:val="single" w:sz="4" w:space="0" w:color="auto"/>
              <w:right w:val="single" w:sz="4" w:space="0" w:color="auto"/>
            </w:tcBorders>
            <w:hideMark/>
          </w:tcPr>
          <w:p w14:paraId="393AE039"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As with the case for change, the model does not currently cover the whole pathway of care. The majority of stakeholders felt it was essential that it does in order to address current challenges in community provision noted earlier</w:t>
            </w:r>
          </w:p>
        </w:tc>
      </w:tr>
      <w:tr w:rsidR="00BF6C93" w14:paraId="65361143" w14:textId="77777777" w:rsidTr="008261A4">
        <w:trPr>
          <w:trHeight w:val="2240"/>
        </w:trPr>
        <w:tc>
          <w:tcPr>
            <w:tcW w:w="852" w:type="dxa"/>
            <w:tcBorders>
              <w:top w:val="nil"/>
              <w:left w:val="single" w:sz="4" w:space="0" w:color="auto"/>
              <w:bottom w:val="single" w:sz="4" w:space="0" w:color="auto"/>
              <w:right w:val="single" w:sz="4" w:space="0" w:color="auto"/>
            </w:tcBorders>
            <w:noWrap/>
            <w:hideMark/>
          </w:tcPr>
          <w:p w14:paraId="267B5379"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14</w:t>
            </w:r>
          </w:p>
        </w:tc>
        <w:tc>
          <w:tcPr>
            <w:tcW w:w="1220" w:type="dxa"/>
            <w:gridSpan w:val="2"/>
            <w:tcBorders>
              <w:top w:val="nil"/>
              <w:left w:val="nil"/>
              <w:bottom w:val="single" w:sz="4" w:space="0" w:color="auto"/>
              <w:right w:val="single" w:sz="4" w:space="0" w:color="auto"/>
            </w:tcBorders>
            <w:hideMark/>
          </w:tcPr>
          <w:p w14:paraId="643E01C0"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page18 bullet points 7 and 8</w:t>
            </w:r>
          </w:p>
        </w:tc>
        <w:tc>
          <w:tcPr>
            <w:tcW w:w="8231" w:type="dxa"/>
            <w:gridSpan w:val="3"/>
            <w:tcBorders>
              <w:top w:val="nil"/>
              <w:left w:val="nil"/>
              <w:bottom w:val="single" w:sz="4" w:space="0" w:color="auto"/>
              <w:right w:val="single" w:sz="4" w:space="0" w:color="auto"/>
            </w:tcBorders>
            <w:hideMark/>
          </w:tcPr>
          <w:p w14:paraId="39D616D1"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 If constraints elsewhere in the pathway are not addressed, improvements in the effectiveness and efficiency of inpatient care (increasing the flow of patients through proposed centres and reducing length of stay) may not be achieved. </w:t>
            </w:r>
          </w:p>
        </w:tc>
      </w:tr>
      <w:tr w:rsidR="00BF6C93" w14:paraId="0F672A21" w14:textId="77777777" w:rsidTr="008261A4">
        <w:trPr>
          <w:trHeight w:val="1900"/>
        </w:trPr>
        <w:tc>
          <w:tcPr>
            <w:tcW w:w="852" w:type="dxa"/>
            <w:tcBorders>
              <w:top w:val="nil"/>
              <w:left w:val="single" w:sz="4" w:space="0" w:color="auto"/>
              <w:bottom w:val="single" w:sz="4" w:space="0" w:color="auto"/>
              <w:right w:val="single" w:sz="4" w:space="0" w:color="auto"/>
            </w:tcBorders>
            <w:noWrap/>
            <w:hideMark/>
          </w:tcPr>
          <w:p w14:paraId="6641202A"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15</w:t>
            </w:r>
          </w:p>
        </w:tc>
        <w:tc>
          <w:tcPr>
            <w:tcW w:w="1220" w:type="dxa"/>
            <w:gridSpan w:val="2"/>
            <w:tcBorders>
              <w:top w:val="nil"/>
              <w:left w:val="nil"/>
              <w:bottom w:val="single" w:sz="4" w:space="0" w:color="auto"/>
              <w:right w:val="single" w:sz="4" w:space="0" w:color="auto"/>
            </w:tcBorders>
            <w:hideMark/>
          </w:tcPr>
          <w:p w14:paraId="6B7BC984"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21- paragraph 22</w:t>
            </w:r>
          </w:p>
        </w:tc>
        <w:tc>
          <w:tcPr>
            <w:tcW w:w="8231" w:type="dxa"/>
            <w:gridSpan w:val="3"/>
            <w:tcBorders>
              <w:top w:val="nil"/>
              <w:left w:val="nil"/>
              <w:bottom w:val="single" w:sz="4" w:space="0" w:color="auto"/>
              <w:right w:val="single" w:sz="4" w:space="0" w:color="auto"/>
            </w:tcBorders>
            <w:hideMark/>
          </w:tcPr>
          <w:p w14:paraId="06EEBA21"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Achieving greater consistency in community services across the six CCGs and boroughs seems critical to such a model working effectively and is likely to be challenging, however limiting these to this specific patient group may prove helpful in the long-term development of these issues.  Developing the model further to encompass the whole pathway of care would help to address this, including the model of rehabilitation. </w:t>
            </w:r>
          </w:p>
        </w:tc>
      </w:tr>
      <w:tr w:rsidR="00BF6C93" w14:paraId="7173B82B" w14:textId="77777777" w:rsidTr="008261A4">
        <w:trPr>
          <w:trHeight w:val="1700"/>
        </w:trPr>
        <w:tc>
          <w:tcPr>
            <w:tcW w:w="852" w:type="dxa"/>
            <w:tcBorders>
              <w:top w:val="nil"/>
              <w:left w:val="single" w:sz="4" w:space="0" w:color="auto"/>
              <w:bottom w:val="single" w:sz="4" w:space="0" w:color="auto"/>
              <w:right w:val="single" w:sz="4" w:space="0" w:color="auto"/>
            </w:tcBorders>
            <w:noWrap/>
            <w:hideMark/>
          </w:tcPr>
          <w:p w14:paraId="03C7F8E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16</w:t>
            </w:r>
          </w:p>
        </w:tc>
        <w:tc>
          <w:tcPr>
            <w:tcW w:w="1220" w:type="dxa"/>
            <w:gridSpan w:val="2"/>
            <w:tcBorders>
              <w:top w:val="nil"/>
              <w:left w:val="nil"/>
              <w:bottom w:val="single" w:sz="4" w:space="0" w:color="auto"/>
              <w:right w:val="single" w:sz="4" w:space="0" w:color="auto"/>
            </w:tcBorders>
            <w:hideMark/>
          </w:tcPr>
          <w:p w14:paraId="29A553C5"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page22- bullet points 1 and 2</w:t>
            </w:r>
          </w:p>
        </w:tc>
        <w:tc>
          <w:tcPr>
            <w:tcW w:w="8231" w:type="dxa"/>
            <w:gridSpan w:val="3"/>
            <w:tcBorders>
              <w:top w:val="nil"/>
              <w:left w:val="nil"/>
              <w:bottom w:val="single" w:sz="4" w:space="0" w:color="auto"/>
              <w:right w:val="single" w:sz="4" w:space="0" w:color="auto"/>
            </w:tcBorders>
            <w:hideMark/>
          </w:tcPr>
          <w:p w14:paraId="468B84D5"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Improvements to the inpatient part of the pathway creates new pressures and challenges elsewhere in the pathway, including the risk that inequalities could increase · The benefits envisaged are not achieved because the wider pathway changes needed to support them do not take place </w:t>
            </w:r>
          </w:p>
        </w:tc>
      </w:tr>
      <w:tr w:rsidR="00BF6C93" w14:paraId="758B261E" w14:textId="77777777" w:rsidTr="008261A4">
        <w:trPr>
          <w:trHeight w:val="1590"/>
        </w:trPr>
        <w:tc>
          <w:tcPr>
            <w:tcW w:w="852" w:type="dxa"/>
            <w:tcBorders>
              <w:top w:val="nil"/>
              <w:left w:val="single" w:sz="4" w:space="0" w:color="auto"/>
              <w:bottom w:val="single" w:sz="4" w:space="0" w:color="auto"/>
              <w:right w:val="single" w:sz="4" w:space="0" w:color="auto"/>
            </w:tcBorders>
            <w:noWrap/>
            <w:hideMark/>
          </w:tcPr>
          <w:p w14:paraId="7F6D2CD3"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17</w:t>
            </w:r>
          </w:p>
        </w:tc>
        <w:tc>
          <w:tcPr>
            <w:tcW w:w="1220" w:type="dxa"/>
            <w:gridSpan w:val="2"/>
            <w:tcBorders>
              <w:top w:val="nil"/>
              <w:left w:val="nil"/>
              <w:bottom w:val="single" w:sz="4" w:space="0" w:color="auto"/>
              <w:right w:val="single" w:sz="4" w:space="0" w:color="auto"/>
            </w:tcBorders>
            <w:hideMark/>
          </w:tcPr>
          <w:p w14:paraId="1A5D8760"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page22- paragraph 2</w:t>
            </w:r>
          </w:p>
        </w:tc>
        <w:tc>
          <w:tcPr>
            <w:tcW w:w="8231" w:type="dxa"/>
            <w:gridSpan w:val="3"/>
            <w:tcBorders>
              <w:top w:val="nil"/>
              <w:left w:val="nil"/>
              <w:bottom w:val="single" w:sz="4" w:space="0" w:color="auto"/>
              <w:right w:val="single" w:sz="4" w:space="0" w:color="auto"/>
            </w:tcBorders>
            <w:hideMark/>
          </w:tcPr>
          <w:p w14:paraId="111F36EF"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Particular issues include the need for greater standardisation; difficulties in repatriating patients to local hospitals and discharge into community services; provision of timely, pro-active rehabilitation, including specialist rehabilitation in the community and ensuring effective integration with primary care and social care. </w:t>
            </w:r>
          </w:p>
        </w:tc>
      </w:tr>
      <w:tr w:rsidR="00BF6C93" w14:paraId="7A2C7C23" w14:textId="77777777" w:rsidTr="008261A4">
        <w:trPr>
          <w:trHeight w:val="1330"/>
        </w:trPr>
        <w:tc>
          <w:tcPr>
            <w:tcW w:w="852" w:type="dxa"/>
            <w:tcBorders>
              <w:top w:val="nil"/>
              <w:left w:val="single" w:sz="4" w:space="0" w:color="auto"/>
              <w:bottom w:val="single" w:sz="4" w:space="0" w:color="auto"/>
              <w:right w:val="single" w:sz="4" w:space="0" w:color="auto"/>
            </w:tcBorders>
            <w:noWrap/>
            <w:hideMark/>
          </w:tcPr>
          <w:p w14:paraId="76424F0C"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18</w:t>
            </w:r>
          </w:p>
        </w:tc>
        <w:tc>
          <w:tcPr>
            <w:tcW w:w="1220" w:type="dxa"/>
            <w:gridSpan w:val="2"/>
            <w:tcBorders>
              <w:top w:val="nil"/>
              <w:left w:val="nil"/>
              <w:bottom w:val="single" w:sz="4" w:space="0" w:color="auto"/>
              <w:right w:val="single" w:sz="4" w:space="0" w:color="auto"/>
            </w:tcBorders>
            <w:hideMark/>
          </w:tcPr>
          <w:p w14:paraId="68DF6CD4"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28- paragraph 5</w:t>
            </w:r>
          </w:p>
        </w:tc>
        <w:tc>
          <w:tcPr>
            <w:tcW w:w="8231" w:type="dxa"/>
            <w:gridSpan w:val="3"/>
            <w:tcBorders>
              <w:top w:val="nil"/>
              <w:left w:val="nil"/>
              <w:bottom w:val="single" w:sz="4" w:space="0" w:color="auto"/>
              <w:right w:val="single" w:sz="4" w:space="0" w:color="auto"/>
            </w:tcBorders>
            <w:hideMark/>
          </w:tcPr>
          <w:p w14:paraId="5E5EE964"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The proposed model of care for elective orthopaedic inpatient services would have implications for other areas of orthopaedic care and for other services with which orthopaedics has an interdependence or an interface. Some of these implications have the potential to increase risk</w:t>
            </w:r>
          </w:p>
        </w:tc>
      </w:tr>
      <w:tr w:rsidR="00BF6C93" w14:paraId="0B8483A5" w14:textId="77777777" w:rsidTr="008261A4">
        <w:trPr>
          <w:trHeight w:val="2530"/>
        </w:trPr>
        <w:tc>
          <w:tcPr>
            <w:tcW w:w="852" w:type="dxa"/>
            <w:tcBorders>
              <w:top w:val="nil"/>
              <w:left w:val="single" w:sz="4" w:space="0" w:color="auto"/>
              <w:bottom w:val="single" w:sz="4" w:space="0" w:color="auto"/>
              <w:right w:val="single" w:sz="4" w:space="0" w:color="auto"/>
            </w:tcBorders>
            <w:noWrap/>
            <w:hideMark/>
          </w:tcPr>
          <w:p w14:paraId="17A3509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19</w:t>
            </w:r>
          </w:p>
        </w:tc>
        <w:tc>
          <w:tcPr>
            <w:tcW w:w="1220" w:type="dxa"/>
            <w:gridSpan w:val="2"/>
            <w:tcBorders>
              <w:top w:val="nil"/>
              <w:left w:val="nil"/>
              <w:bottom w:val="single" w:sz="4" w:space="0" w:color="auto"/>
              <w:right w:val="single" w:sz="4" w:space="0" w:color="auto"/>
            </w:tcBorders>
            <w:hideMark/>
          </w:tcPr>
          <w:p w14:paraId="6F586149"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29- paragraph 6</w:t>
            </w:r>
          </w:p>
        </w:tc>
        <w:tc>
          <w:tcPr>
            <w:tcW w:w="8231" w:type="dxa"/>
            <w:gridSpan w:val="3"/>
            <w:tcBorders>
              <w:top w:val="nil"/>
              <w:left w:val="nil"/>
              <w:bottom w:val="single" w:sz="4" w:space="0" w:color="auto"/>
              <w:right w:val="single" w:sz="4" w:space="0" w:color="auto"/>
            </w:tcBorders>
            <w:hideMark/>
          </w:tcPr>
          <w:p w14:paraId="2C992DF3"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However, we reiterate again the importance of considering the whole elective care pathway; the peri-operative stage of the pathway cannot be considered in isolation. For example, the model of care does have the potential to reduce length of stay for an elective admission, however the quality and effectiveness of pre and post-operative care are as important in achieving the best overall experience and outcome for patients. The full benefits that the case for change is seeking may not be achieved without taking this approach.   </w:t>
            </w:r>
          </w:p>
        </w:tc>
      </w:tr>
      <w:tr w:rsidR="00BF6C93" w14:paraId="17F47C9B" w14:textId="77777777" w:rsidTr="008261A4">
        <w:trPr>
          <w:trHeight w:val="2410"/>
        </w:trPr>
        <w:tc>
          <w:tcPr>
            <w:tcW w:w="852" w:type="dxa"/>
            <w:tcBorders>
              <w:top w:val="nil"/>
              <w:left w:val="single" w:sz="4" w:space="0" w:color="auto"/>
              <w:bottom w:val="single" w:sz="4" w:space="0" w:color="auto"/>
              <w:right w:val="single" w:sz="4" w:space="0" w:color="auto"/>
            </w:tcBorders>
            <w:noWrap/>
            <w:hideMark/>
          </w:tcPr>
          <w:p w14:paraId="75BB058A"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20</w:t>
            </w:r>
          </w:p>
        </w:tc>
        <w:tc>
          <w:tcPr>
            <w:tcW w:w="1220" w:type="dxa"/>
            <w:gridSpan w:val="2"/>
            <w:tcBorders>
              <w:top w:val="nil"/>
              <w:left w:val="nil"/>
              <w:bottom w:val="single" w:sz="4" w:space="0" w:color="auto"/>
              <w:right w:val="single" w:sz="4" w:space="0" w:color="auto"/>
            </w:tcBorders>
            <w:hideMark/>
          </w:tcPr>
          <w:p w14:paraId="22D06C9B"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30- paragraph 5</w:t>
            </w:r>
          </w:p>
        </w:tc>
        <w:tc>
          <w:tcPr>
            <w:tcW w:w="8231" w:type="dxa"/>
            <w:gridSpan w:val="3"/>
            <w:tcBorders>
              <w:top w:val="nil"/>
              <w:left w:val="nil"/>
              <w:bottom w:val="single" w:sz="4" w:space="0" w:color="auto"/>
              <w:right w:val="single" w:sz="4" w:space="0" w:color="auto"/>
            </w:tcBorders>
            <w:hideMark/>
          </w:tcPr>
          <w:p w14:paraId="30E33852"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Work to deliver some of the improvement opportunities identified in GIRFT are not necessarily dependent on the establishment of an EOC and could begin now. For example, networking across current services to begin introducing greater standardisation across the pathway. Making progress in advance, especially in achieving greater consistency within community services and strengthening education programmes for GPs, could facilitate transition to the proposed model of care if established and deliver earlier gains.   </w:t>
            </w:r>
          </w:p>
        </w:tc>
      </w:tr>
      <w:tr w:rsidR="00BF6C93" w14:paraId="3F75F3F0" w14:textId="77777777" w:rsidTr="008261A4">
        <w:trPr>
          <w:trHeight w:val="890"/>
        </w:trPr>
        <w:tc>
          <w:tcPr>
            <w:tcW w:w="852" w:type="dxa"/>
            <w:tcBorders>
              <w:top w:val="nil"/>
              <w:left w:val="single" w:sz="4" w:space="0" w:color="auto"/>
              <w:bottom w:val="single" w:sz="4" w:space="0" w:color="auto"/>
              <w:right w:val="single" w:sz="4" w:space="0" w:color="auto"/>
            </w:tcBorders>
            <w:noWrap/>
            <w:hideMark/>
          </w:tcPr>
          <w:p w14:paraId="195CFF7B"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21</w:t>
            </w:r>
          </w:p>
        </w:tc>
        <w:tc>
          <w:tcPr>
            <w:tcW w:w="1220" w:type="dxa"/>
            <w:gridSpan w:val="2"/>
            <w:tcBorders>
              <w:top w:val="nil"/>
              <w:left w:val="nil"/>
              <w:bottom w:val="single" w:sz="4" w:space="0" w:color="auto"/>
              <w:right w:val="single" w:sz="4" w:space="0" w:color="auto"/>
            </w:tcBorders>
            <w:hideMark/>
          </w:tcPr>
          <w:p w14:paraId="1FC1DBD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31- bullet point 1</w:t>
            </w:r>
          </w:p>
        </w:tc>
        <w:tc>
          <w:tcPr>
            <w:tcW w:w="8231" w:type="dxa"/>
            <w:gridSpan w:val="3"/>
            <w:tcBorders>
              <w:top w:val="nil"/>
              <w:left w:val="nil"/>
              <w:bottom w:val="single" w:sz="4" w:space="0" w:color="auto"/>
              <w:right w:val="single" w:sz="4" w:space="0" w:color="auto"/>
            </w:tcBorders>
            <w:hideMark/>
          </w:tcPr>
          <w:p w14:paraId="6B1C8061"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Addressing current differences in processes, approaches and services available within community services is a key area. If not tackled, this could contribute to inequalities.</w:t>
            </w:r>
          </w:p>
        </w:tc>
      </w:tr>
      <w:tr w:rsidR="00BF6C93" w14:paraId="7DCD081F" w14:textId="77777777" w:rsidTr="008261A4">
        <w:trPr>
          <w:trHeight w:val="1140"/>
        </w:trPr>
        <w:tc>
          <w:tcPr>
            <w:tcW w:w="852" w:type="dxa"/>
            <w:tcBorders>
              <w:top w:val="nil"/>
              <w:left w:val="single" w:sz="4" w:space="0" w:color="auto"/>
              <w:bottom w:val="single" w:sz="4" w:space="0" w:color="auto"/>
              <w:right w:val="single" w:sz="4" w:space="0" w:color="auto"/>
            </w:tcBorders>
            <w:noWrap/>
            <w:hideMark/>
          </w:tcPr>
          <w:p w14:paraId="2B1C0AD7"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w:t>
            </w:r>
          </w:p>
        </w:tc>
        <w:tc>
          <w:tcPr>
            <w:tcW w:w="1220" w:type="dxa"/>
            <w:gridSpan w:val="2"/>
            <w:tcBorders>
              <w:top w:val="nil"/>
              <w:left w:val="nil"/>
              <w:bottom w:val="single" w:sz="4" w:space="0" w:color="auto"/>
              <w:right w:val="single" w:sz="4" w:space="0" w:color="auto"/>
            </w:tcBorders>
            <w:hideMark/>
          </w:tcPr>
          <w:p w14:paraId="6DD8ACF9"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31- bullet point 5</w:t>
            </w:r>
          </w:p>
        </w:tc>
        <w:tc>
          <w:tcPr>
            <w:tcW w:w="8231" w:type="dxa"/>
            <w:gridSpan w:val="3"/>
            <w:tcBorders>
              <w:top w:val="nil"/>
              <w:left w:val="nil"/>
              <w:bottom w:val="single" w:sz="4" w:space="0" w:color="auto"/>
              <w:right w:val="single" w:sz="4" w:space="0" w:color="auto"/>
            </w:tcBorders>
            <w:hideMark/>
          </w:tcPr>
          <w:p w14:paraId="2C70C89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A sector wide opportunity for a collaborative approach to improvement and education should be jointly developed integrating both primary and secondary care. This is essential, as demand management is mostly within the gift of primary care. </w:t>
            </w:r>
          </w:p>
        </w:tc>
      </w:tr>
      <w:tr w:rsidR="00BF6C93" w14:paraId="1D0243E3" w14:textId="77777777" w:rsidTr="008261A4">
        <w:trPr>
          <w:trHeight w:val="1640"/>
        </w:trPr>
        <w:tc>
          <w:tcPr>
            <w:tcW w:w="852" w:type="dxa"/>
            <w:tcBorders>
              <w:top w:val="nil"/>
              <w:left w:val="single" w:sz="4" w:space="0" w:color="auto"/>
              <w:bottom w:val="single" w:sz="4" w:space="0" w:color="auto"/>
              <w:right w:val="single" w:sz="4" w:space="0" w:color="auto"/>
            </w:tcBorders>
            <w:noWrap/>
            <w:hideMark/>
          </w:tcPr>
          <w:p w14:paraId="3DBD8C57"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23</w:t>
            </w:r>
          </w:p>
        </w:tc>
        <w:tc>
          <w:tcPr>
            <w:tcW w:w="1220" w:type="dxa"/>
            <w:gridSpan w:val="2"/>
            <w:tcBorders>
              <w:top w:val="nil"/>
              <w:left w:val="nil"/>
              <w:bottom w:val="single" w:sz="4" w:space="0" w:color="auto"/>
              <w:right w:val="single" w:sz="4" w:space="0" w:color="auto"/>
            </w:tcBorders>
            <w:hideMark/>
          </w:tcPr>
          <w:p w14:paraId="2BBDC1D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32- bullet point 2</w:t>
            </w:r>
          </w:p>
        </w:tc>
        <w:tc>
          <w:tcPr>
            <w:tcW w:w="8231" w:type="dxa"/>
            <w:gridSpan w:val="3"/>
            <w:tcBorders>
              <w:top w:val="nil"/>
              <w:left w:val="nil"/>
              <w:bottom w:val="single" w:sz="4" w:space="0" w:color="auto"/>
              <w:right w:val="single" w:sz="4" w:space="0" w:color="auto"/>
            </w:tcBorders>
            <w:hideMark/>
          </w:tcPr>
          <w:p w14:paraId="29C245F3"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Outcomes could be improved by increasing standardisation/reducing variation; introducing greater consistency in processes and approaches based on agreement about best practice and by addressing ALL aspects of the pathway including pre and post-operative care </w:t>
            </w:r>
          </w:p>
        </w:tc>
      </w:tr>
      <w:tr w:rsidR="00BF6C93" w14:paraId="4DBC3F31" w14:textId="77777777" w:rsidTr="008261A4">
        <w:trPr>
          <w:trHeight w:val="2140"/>
        </w:trPr>
        <w:tc>
          <w:tcPr>
            <w:tcW w:w="852" w:type="dxa"/>
            <w:tcBorders>
              <w:top w:val="nil"/>
              <w:left w:val="single" w:sz="4" w:space="0" w:color="auto"/>
              <w:bottom w:val="single" w:sz="4" w:space="0" w:color="auto"/>
              <w:right w:val="single" w:sz="4" w:space="0" w:color="auto"/>
            </w:tcBorders>
            <w:noWrap/>
            <w:hideMark/>
          </w:tcPr>
          <w:p w14:paraId="7AF30F50"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24</w:t>
            </w:r>
          </w:p>
        </w:tc>
        <w:tc>
          <w:tcPr>
            <w:tcW w:w="1220" w:type="dxa"/>
            <w:gridSpan w:val="2"/>
            <w:tcBorders>
              <w:top w:val="nil"/>
              <w:left w:val="nil"/>
              <w:bottom w:val="single" w:sz="4" w:space="0" w:color="auto"/>
              <w:right w:val="single" w:sz="4" w:space="0" w:color="auto"/>
            </w:tcBorders>
            <w:hideMark/>
          </w:tcPr>
          <w:p w14:paraId="599F6493"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34 -point 9</w:t>
            </w:r>
          </w:p>
        </w:tc>
        <w:tc>
          <w:tcPr>
            <w:tcW w:w="8231" w:type="dxa"/>
            <w:gridSpan w:val="3"/>
            <w:tcBorders>
              <w:top w:val="nil"/>
              <w:left w:val="nil"/>
              <w:bottom w:val="single" w:sz="4" w:space="0" w:color="auto"/>
              <w:right w:val="single" w:sz="4" w:space="0" w:color="auto"/>
            </w:tcBorders>
            <w:hideMark/>
          </w:tcPr>
          <w:p w14:paraId="52E246A0"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The case for change should now be extended to encompass the pre-referral, preoperative and post-operative phases so that it covers the whole end to end pathway from home to home. Some of the benefits which the current case for change aims to deliver will not be achieved without doing this. It would also ensure that proposals for the model of care take account of all key issues. There would need to be collective ownership of this approach.   </w:t>
            </w:r>
          </w:p>
        </w:tc>
      </w:tr>
      <w:tr w:rsidR="00BF6C93" w14:paraId="42B169C6" w14:textId="77777777" w:rsidTr="008261A4">
        <w:trPr>
          <w:trHeight w:val="1050"/>
        </w:trPr>
        <w:tc>
          <w:tcPr>
            <w:tcW w:w="852" w:type="dxa"/>
            <w:tcBorders>
              <w:top w:val="nil"/>
              <w:left w:val="single" w:sz="4" w:space="0" w:color="auto"/>
              <w:bottom w:val="single" w:sz="4" w:space="0" w:color="auto"/>
              <w:right w:val="single" w:sz="4" w:space="0" w:color="auto"/>
            </w:tcBorders>
            <w:noWrap/>
            <w:hideMark/>
          </w:tcPr>
          <w:p w14:paraId="49D11730"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25</w:t>
            </w:r>
          </w:p>
        </w:tc>
        <w:tc>
          <w:tcPr>
            <w:tcW w:w="1220" w:type="dxa"/>
            <w:gridSpan w:val="2"/>
            <w:tcBorders>
              <w:top w:val="nil"/>
              <w:left w:val="nil"/>
              <w:bottom w:val="single" w:sz="4" w:space="0" w:color="auto"/>
              <w:right w:val="single" w:sz="4" w:space="0" w:color="auto"/>
            </w:tcBorders>
            <w:hideMark/>
          </w:tcPr>
          <w:p w14:paraId="757364DA"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36 - 18 a</w:t>
            </w:r>
          </w:p>
        </w:tc>
        <w:tc>
          <w:tcPr>
            <w:tcW w:w="8231" w:type="dxa"/>
            <w:gridSpan w:val="3"/>
            <w:tcBorders>
              <w:top w:val="nil"/>
              <w:left w:val="nil"/>
              <w:bottom w:val="single" w:sz="4" w:space="0" w:color="auto"/>
              <w:right w:val="single" w:sz="4" w:space="0" w:color="auto"/>
            </w:tcBorders>
            <w:hideMark/>
          </w:tcPr>
          <w:p w14:paraId="66F0E5EC"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a. The need to define a proposed model of care for the end to end pathway, including consideration of the implications for primary care and general practice; </w:t>
            </w:r>
          </w:p>
        </w:tc>
      </w:tr>
      <w:tr w:rsidR="00BF6C93" w14:paraId="022B499E" w14:textId="77777777" w:rsidTr="008261A4">
        <w:trPr>
          <w:trHeight w:val="1950"/>
        </w:trPr>
        <w:tc>
          <w:tcPr>
            <w:tcW w:w="852" w:type="dxa"/>
            <w:tcBorders>
              <w:top w:val="nil"/>
              <w:left w:val="single" w:sz="4" w:space="0" w:color="auto"/>
              <w:bottom w:val="single" w:sz="4" w:space="0" w:color="auto"/>
              <w:right w:val="single" w:sz="4" w:space="0" w:color="auto"/>
            </w:tcBorders>
            <w:noWrap/>
            <w:hideMark/>
          </w:tcPr>
          <w:p w14:paraId="2B339F02"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26</w:t>
            </w:r>
          </w:p>
        </w:tc>
        <w:tc>
          <w:tcPr>
            <w:tcW w:w="1220" w:type="dxa"/>
            <w:gridSpan w:val="2"/>
            <w:tcBorders>
              <w:top w:val="nil"/>
              <w:left w:val="nil"/>
              <w:bottom w:val="single" w:sz="4" w:space="0" w:color="auto"/>
              <w:right w:val="single" w:sz="4" w:space="0" w:color="auto"/>
            </w:tcBorders>
            <w:hideMark/>
          </w:tcPr>
          <w:p w14:paraId="7667CD8A"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36 18d</w:t>
            </w:r>
          </w:p>
        </w:tc>
        <w:tc>
          <w:tcPr>
            <w:tcW w:w="8231" w:type="dxa"/>
            <w:gridSpan w:val="3"/>
            <w:tcBorders>
              <w:top w:val="nil"/>
              <w:left w:val="nil"/>
              <w:bottom w:val="single" w:sz="4" w:space="0" w:color="auto"/>
              <w:right w:val="single" w:sz="4" w:space="0" w:color="auto"/>
            </w:tcBorders>
            <w:hideMark/>
          </w:tcPr>
          <w:p w14:paraId="074521B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d. A model of care which consolidates planned inpatient orthopaedic care would increase the number of interfaces across different services and organisational boundaries. Standardisation of processes and protocols and greater consistency across all services, including community services across the six CCGs and boroughs, would be essential in ensuring such a model worked effectively; </w:t>
            </w:r>
          </w:p>
        </w:tc>
      </w:tr>
      <w:tr w:rsidR="00BF6C93" w14:paraId="41356603" w14:textId="77777777" w:rsidTr="008261A4">
        <w:trPr>
          <w:trHeight w:val="1860"/>
        </w:trPr>
        <w:tc>
          <w:tcPr>
            <w:tcW w:w="852" w:type="dxa"/>
            <w:tcBorders>
              <w:top w:val="nil"/>
              <w:left w:val="single" w:sz="4" w:space="0" w:color="auto"/>
              <w:bottom w:val="single" w:sz="4" w:space="0" w:color="auto"/>
              <w:right w:val="single" w:sz="4" w:space="0" w:color="auto"/>
            </w:tcBorders>
            <w:noWrap/>
            <w:hideMark/>
          </w:tcPr>
          <w:p w14:paraId="51B3E799"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lastRenderedPageBreak/>
              <w:t>27</w:t>
            </w:r>
          </w:p>
        </w:tc>
        <w:tc>
          <w:tcPr>
            <w:tcW w:w="1220" w:type="dxa"/>
            <w:gridSpan w:val="2"/>
            <w:tcBorders>
              <w:top w:val="nil"/>
              <w:left w:val="nil"/>
              <w:bottom w:val="single" w:sz="4" w:space="0" w:color="auto"/>
              <w:right w:val="single" w:sz="4" w:space="0" w:color="auto"/>
            </w:tcBorders>
            <w:hideMark/>
          </w:tcPr>
          <w:p w14:paraId="7DC8B112"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page 37-point 21 </w:t>
            </w:r>
          </w:p>
        </w:tc>
        <w:tc>
          <w:tcPr>
            <w:tcW w:w="8231" w:type="dxa"/>
            <w:gridSpan w:val="3"/>
            <w:tcBorders>
              <w:top w:val="nil"/>
              <w:left w:val="nil"/>
              <w:bottom w:val="single" w:sz="4" w:space="0" w:color="auto"/>
              <w:right w:val="single" w:sz="4" w:space="0" w:color="auto"/>
            </w:tcBorders>
            <w:hideMark/>
          </w:tcPr>
          <w:p w14:paraId="173E043D"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Robust networking and collaboration would be essential to build the relationships and trust required for the proposed model to operate effectively, in particular standardising clinical approaches and processes. There are examples to learn from and draw on where this has been achieved in south east London. Currently, however, the model of care has little detail on the proposed networking approach. </w:t>
            </w:r>
          </w:p>
        </w:tc>
      </w:tr>
      <w:tr w:rsidR="00BF6C93" w14:paraId="794DC5A8" w14:textId="77777777" w:rsidTr="008261A4">
        <w:trPr>
          <w:trHeight w:val="1820"/>
        </w:trPr>
        <w:tc>
          <w:tcPr>
            <w:tcW w:w="852" w:type="dxa"/>
            <w:tcBorders>
              <w:top w:val="nil"/>
              <w:left w:val="single" w:sz="4" w:space="0" w:color="auto"/>
              <w:bottom w:val="single" w:sz="4" w:space="0" w:color="auto"/>
              <w:right w:val="single" w:sz="4" w:space="0" w:color="auto"/>
            </w:tcBorders>
            <w:noWrap/>
            <w:hideMark/>
          </w:tcPr>
          <w:p w14:paraId="3897505D"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28</w:t>
            </w:r>
          </w:p>
        </w:tc>
        <w:tc>
          <w:tcPr>
            <w:tcW w:w="1220" w:type="dxa"/>
            <w:gridSpan w:val="2"/>
            <w:tcBorders>
              <w:top w:val="nil"/>
              <w:left w:val="nil"/>
              <w:bottom w:val="single" w:sz="4" w:space="0" w:color="auto"/>
              <w:right w:val="single" w:sz="4" w:space="0" w:color="auto"/>
            </w:tcBorders>
            <w:hideMark/>
          </w:tcPr>
          <w:p w14:paraId="1FF2E05F"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37-point 23</w:t>
            </w:r>
          </w:p>
        </w:tc>
        <w:tc>
          <w:tcPr>
            <w:tcW w:w="8231" w:type="dxa"/>
            <w:gridSpan w:val="3"/>
            <w:tcBorders>
              <w:top w:val="nil"/>
              <w:left w:val="nil"/>
              <w:bottom w:val="single" w:sz="4" w:space="0" w:color="auto"/>
              <w:right w:val="single" w:sz="4" w:space="0" w:color="auto"/>
            </w:tcBorders>
            <w:hideMark/>
          </w:tcPr>
          <w:p w14:paraId="4396552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As with the case for change, the model of care should be further developed and defined to encompass the whole pathway of care. Particular attention needs to be given to the pre-referral, pre-operative and post-operative phases including readmissions. Key interfaces and requirements to ensure a robust and effective model overall should be reflected in specifications developed e.g. for all parts of the pathway including community based musculoskeletal treatment and care.  </w:t>
            </w:r>
          </w:p>
        </w:tc>
      </w:tr>
      <w:tr w:rsidR="00BF6C93" w14:paraId="4D54AA8D" w14:textId="77777777" w:rsidTr="008261A4">
        <w:trPr>
          <w:trHeight w:val="2080"/>
        </w:trPr>
        <w:tc>
          <w:tcPr>
            <w:tcW w:w="852" w:type="dxa"/>
            <w:tcBorders>
              <w:top w:val="nil"/>
              <w:left w:val="single" w:sz="4" w:space="0" w:color="auto"/>
              <w:bottom w:val="single" w:sz="4" w:space="0" w:color="auto"/>
              <w:right w:val="single" w:sz="4" w:space="0" w:color="auto"/>
            </w:tcBorders>
            <w:noWrap/>
            <w:hideMark/>
          </w:tcPr>
          <w:p w14:paraId="37A4ADFA"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29</w:t>
            </w:r>
          </w:p>
        </w:tc>
        <w:tc>
          <w:tcPr>
            <w:tcW w:w="1220" w:type="dxa"/>
            <w:gridSpan w:val="2"/>
            <w:tcBorders>
              <w:top w:val="nil"/>
              <w:left w:val="nil"/>
              <w:bottom w:val="single" w:sz="4" w:space="0" w:color="auto"/>
              <w:right w:val="single" w:sz="4" w:space="0" w:color="auto"/>
            </w:tcBorders>
            <w:hideMark/>
          </w:tcPr>
          <w:p w14:paraId="43B311AF"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40- point 45</w:t>
            </w:r>
          </w:p>
        </w:tc>
        <w:tc>
          <w:tcPr>
            <w:tcW w:w="8231" w:type="dxa"/>
            <w:gridSpan w:val="3"/>
            <w:tcBorders>
              <w:top w:val="nil"/>
              <w:left w:val="nil"/>
              <w:bottom w:val="single" w:sz="4" w:space="0" w:color="auto"/>
              <w:right w:val="single" w:sz="4" w:space="0" w:color="auto"/>
            </w:tcBorders>
            <w:hideMark/>
          </w:tcPr>
          <w:p w14:paraId="47BA3373"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40. Work should begin to identify where standardisation offers the greatest opportunities to deliver improvements (quality and cost). Given its importance to the overall model of care proposed, and because of wider benefits and learning that would accrue, we would recommend an early focus on community services, including pre-referral and preoperative assessment and post-operative care which could be for a defined group of patients initially e.g. older people with comorbidities. </w:t>
            </w:r>
          </w:p>
        </w:tc>
      </w:tr>
      <w:tr w:rsidR="00BF6C93" w14:paraId="51083853" w14:textId="77777777" w:rsidTr="008261A4">
        <w:trPr>
          <w:trHeight w:val="1530"/>
        </w:trPr>
        <w:tc>
          <w:tcPr>
            <w:tcW w:w="852" w:type="dxa"/>
            <w:tcBorders>
              <w:top w:val="nil"/>
              <w:left w:val="single" w:sz="4" w:space="0" w:color="auto"/>
              <w:bottom w:val="single" w:sz="4" w:space="0" w:color="auto"/>
              <w:right w:val="single" w:sz="4" w:space="0" w:color="auto"/>
            </w:tcBorders>
            <w:noWrap/>
            <w:hideMark/>
          </w:tcPr>
          <w:p w14:paraId="441FD304" w14:textId="77777777" w:rsidR="00BF6C93" w:rsidRDefault="00BF6C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30</w:t>
            </w:r>
          </w:p>
        </w:tc>
        <w:tc>
          <w:tcPr>
            <w:tcW w:w="1220" w:type="dxa"/>
            <w:gridSpan w:val="2"/>
            <w:tcBorders>
              <w:top w:val="nil"/>
              <w:left w:val="nil"/>
              <w:bottom w:val="single" w:sz="4" w:space="0" w:color="auto"/>
              <w:right w:val="single" w:sz="4" w:space="0" w:color="auto"/>
            </w:tcBorders>
            <w:hideMark/>
          </w:tcPr>
          <w:p w14:paraId="13EF1A98"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page 41- point 49</w:t>
            </w:r>
          </w:p>
        </w:tc>
        <w:tc>
          <w:tcPr>
            <w:tcW w:w="8231" w:type="dxa"/>
            <w:gridSpan w:val="3"/>
            <w:tcBorders>
              <w:top w:val="nil"/>
              <w:left w:val="nil"/>
              <w:bottom w:val="single" w:sz="4" w:space="0" w:color="auto"/>
              <w:right w:val="single" w:sz="4" w:space="0" w:color="auto"/>
            </w:tcBorders>
            <w:hideMark/>
          </w:tcPr>
          <w:p w14:paraId="56DC0066" w14:textId="77777777" w:rsidR="00BF6C93" w:rsidRDefault="00BF6C93">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49. Patients and carers and staff should be involved in identifying and agreeing measures of success. Goals and measures covering the whole pathway should be articulated as clearly as possible and be widely shared. They need to be owned by the whole system</w:t>
            </w:r>
          </w:p>
        </w:tc>
      </w:tr>
      <w:tr w:rsidR="00BF6C93" w14:paraId="3CD38A30" w14:textId="77777777" w:rsidTr="008261A4">
        <w:trPr>
          <w:trHeight w:val="290"/>
        </w:trPr>
        <w:tc>
          <w:tcPr>
            <w:tcW w:w="852" w:type="dxa"/>
            <w:noWrap/>
            <w:hideMark/>
          </w:tcPr>
          <w:p w14:paraId="436597E0" w14:textId="77777777" w:rsidR="00BF6C93" w:rsidRDefault="00BF6C93">
            <w:pPr>
              <w:spacing w:after="0"/>
            </w:pPr>
          </w:p>
        </w:tc>
        <w:tc>
          <w:tcPr>
            <w:tcW w:w="1220" w:type="dxa"/>
            <w:gridSpan w:val="2"/>
            <w:hideMark/>
          </w:tcPr>
          <w:p w14:paraId="2B805068" w14:textId="77777777" w:rsidR="00BF6C93" w:rsidRDefault="00BF6C93">
            <w:pPr>
              <w:spacing w:after="0"/>
            </w:pPr>
          </w:p>
        </w:tc>
        <w:tc>
          <w:tcPr>
            <w:tcW w:w="8231" w:type="dxa"/>
            <w:gridSpan w:val="3"/>
            <w:hideMark/>
          </w:tcPr>
          <w:p w14:paraId="74996C10" w14:textId="77777777" w:rsidR="00BF6C93" w:rsidRDefault="00BF6C93">
            <w:pPr>
              <w:spacing w:after="0"/>
            </w:pPr>
          </w:p>
        </w:tc>
      </w:tr>
      <w:tr w:rsidR="008261A4" w14:paraId="50230CA7" w14:textId="77777777" w:rsidTr="00E2002F">
        <w:trPr>
          <w:trHeight w:val="333"/>
        </w:trPr>
        <w:tc>
          <w:tcPr>
            <w:tcW w:w="10303" w:type="dxa"/>
            <w:gridSpan w:val="6"/>
            <w:noWrap/>
            <w:hideMark/>
          </w:tcPr>
          <w:p w14:paraId="1A692E54" w14:textId="706E06EF" w:rsidR="008261A4" w:rsidRDefault="008261A4">
            <w:pPr>
              <w:spacing w:after="0"/>
            </w:pPr>
          </w:p>
        </w:tc>
      </w:tr>
      <w:tr w:rsidR="00BF6C93" w14:paraId="4CC22C05" w14:textId="77777777" w:rsidTr="008261A4">
        <w:trPr>
          <w:trHeight w:val="290"/>
        </w:trPr>
        <w:tc>
          <w:tcPr>
            <w:tcW w:w="852" w:type="dxa"/>
            <w:noWrap/>
          </w:tcPr>
          <w:p w14:paraId="6BA94F16" w14:textId="77777777" w:rsidR="00BF6C93" w:rsidRDefault="00BF6C93">
            <w:pPr>
              <w:spacing w:after="0"/>
            </w:pPr>
          </w:p>
          <w:p w14:paraId="594BF8D3" w14:textId="77777777" w:rsidR="00BF6C93" w:rsidRDefault="00BF6C93">
            <w:pPr>
              <w:spacing w:after="0"/>
            </w:pPr>
          </w:p>
          <w:p w14:paraId="52959DFA" w14:textId="77777777" w:rsidR="00BF6C93" w:rsidRDefault="00BF6C93">
            <w:pPr>
              <w:spacing w:after="0"/>
            </w:pPr>
          </w:p>
          <w:p w14:paraId="50DA6C2A" w14:textId="77777777" w:rsidR="00BF6C93" w:rsidRDefault="00BF6C93">
            <w:pPr>
              <w:spacing w:after="0"/>
            </w:pPr>
          </w:p>
          <w:p w14:paraId="66747A1F" w14:textId="77777777" w:rsidR="00BF6C93" w:rsidRDefault="00BF6C93">
            <w:pPr>
              <w:spacing w:after="0"/>
            </w:pPr>
          </w:p>
          <w:p w14:paraId="1D7DE290" w14:textId="77777777" w:rsidR="00BF6C93" w:rsidRDefault="00BF6C93">
            <w:pPr>
              <w:spacing w:after="0"/>
            </w:pPr>
          </w:p>
          <w:p w14:paraId="016965FD" w14:textId="77777777" w:rsidR="00BF6C93" w:rsidRDefault="00BF6C93">
            <w:pPr>
              <w:spacing w:after="0"/>
            </w:pPr>
          </w:p>
          <w:p w14:paraId="437A4CD0" w14:textId="77777777" w:rsidR="00BF6C93" w:rsidRDefault="00BF6C93">
            <w:pPr>
              <w:spacing w:after="0"/>
            </w:pPr>
          </w:p>
          <w:p w14:paraId="45E1A05B" w14:textId="77777777" w:rsidR="00BF6C93" w:rsidRDefault="00BF6C93">
            <w:pPr>
              <w:spacing w:after="0"/>
            </w:pPr>
          </w:p>
          <w:p w14:paraId="7BD18B5C" w14:textId="77777777" w:rsidR="00BF6C93" w:rsidRDefault="00BF6C93">
            <w:pPr>
              <w:spacing w:after="0"/>
            </w:pPr>
          </w:p>
          <w:p w14:paraId="30DC537D" w14:textId="77777777" w:rsidR="00BF6C93" w:rsidRDefault="00BF6C93">
            <w:pPr>
              <w:spacing w:after="0"/>
            </w:pPr>
          </w:p>
          <w:p w14:paraId="0F7BC10C" w14:textId="77777777" w:rsidR="00BF6C93" w:rsidRDefault="00BF6C93">
            <w:pPr>
              <w:spacing w:after="0"/>
            </w:pPr>
          </w:p>
          <w:p w14:paraId="19A9ACA6" w14:textId="77777777" w:rsidR="00BF6C93" w:rsidRDefault="00BF6C93">
            <w:pPr>
              <w:spacing w:after="0"/>
            </w:pPr>
          </w:p>
          <w:p w14:paraId="1D511421" w14:textId="77777777" w:rsidR="00BF6C93" w:rsidRDefault="00BF6C93">
            <w:pPr>
              <w:spacing w:after="0"/>
            </w:pPr>
          </w:p>
          <w:p w14:paraId="4A7DF5D4" w14:textId="77777777" w:rsidR="00BF6C93" w:rsidRDefault="00BF6C93">
            <w:pPr>
              <w:spacing w:after="0"/>
            </w:pPr>
          </w:p>
          <w:p w14:paraId="5D4C9690" w14:textId="77777777" w:rsidR="00BF6C93" w:rsidRDefault="00BF6C93">
            <w:pPr>
              <w:spacing w:after="0"/>
            </w:pPr>
          </w:p>
          <w:p w14:paraId="5E38F644" w14:textId="77777777" w:rsidR="00BF6C93" w:rsidRDefault="00BF6C93">
            <w:pPr>
              <w:spacing w:after="0"/>
            </w:pPr>
          </w:p>
          <w:p w14:paraId="4A4C7461" w14:textId="77777777" w:rsidR="00BF6C93" w:rsidRDefault="00BF6C93">
            <w:pPr>
              <w:spacing w:after="0"/>
            </w:pPr>
          </w:p>
          <w:p w14:paraId="721999BB" w14:textId="77777777" w:rsidR="00BF6C93" w:rsidRDefault="00BF6C93">
            <w:pPr>
              <w:spacing w:after="0"/>
            </w:pPr>
          </w:p>
          <w:p w14:paraId="5B2B9BBC" w14:textId="77777777" w:rsidR="00BF6C93" w:rsidRDefault="00BF6C93">
            <w:pPr>
              <w:spacing w:after="0"/>
            </w:pPr>
          </w:p>
          <w:p w14:paraId="33025E6E" w14:textId="77777777" w:rsidR="00BF6C93" w:rsidRDefault="00BF6C93">
            <w:pPr>
              <w:spacing w:after="0"/>
            </w:pPr>
          </w:p>
          <w:p w14:paraId="7CED6159" w14:textId="77777777" w:rsidR="00BF6C93" w:rsidRDefault="00BF6C93">
            <w:pPr>
              <w:spacing w:after="0"/>
            </w:pPr>
          </w:p>
          <w:p w14:paraId="39BC86CC" w14:textId="77777777" w:rsidR="00BF6C93" w:rsidRDefault="00BF6C93">
            <w:pPr>
              <w:spacing w:after="0"/>
            </w:pPr>
          </w:p>
          <w:p w14:paraId="108C1681" w14:textId="77777777" w:rsidR="00BF6C93" w:rsidRDefault="00BF6C93">
            <w:pPr>
              <w:spacing w:after="0"/>
            </w:pPr>
          </w:p>
        </w:tc>
        <w:tc>
          <w:tcPr>
            <w:tcW w:w="1220" w:type="dxa"/>
            <w:gridSpan w:val="2"/>
            <w:vAlign w:val="bottom"/>
          </w:tcPr>
          <w:p w14:paraId="694816E5" w14:textId="77777777" w:rsidR="00BF6C93" w:rsidRDefault="00BF6C93">
            <w:pPr>
              <w:spacing w:after="0"/>
            </w:pPr>
          </w:p>
        </w:tc>
        <w:tc>
          <w:tcPr>
            <w:tcW w:w="8231" w:type="dxa"/>
            <w:gridSpan w:val="3"/>
          </w:tcPr>
          <w:p w14:paraId="0DA34CB3" w14:textId="77777777" w:rsidR="00BF6C93" w:rsidRDefault="00BF6C93">
            <w:pPr>
              <w:spacing w:after="0"/>
            </w:pPr>
          </w:p>
        </w:tc>
      </w:tr>
      <w:tr w:rsidR="00BF6C93" w14:paraId="591F38E0" w14:textId="77777777" w:rsidTr="008261A4">
        <w:trPr>
          <w:gridAfter w:val="1"/>
          <w:wAfter w:w="260" w:type="dxa"/>
          <w:trHeight w:val="680"/>
        </w:trPr>
        <w:tc>
          <w:tcPr>
            <w:tcW w:w="892" w:type="dxa"/>
            <w:gridSpan w:val="2"/>
            <w:tcBorders>
              <w:top w:val="single" w:sz="4" w:space="0" w:color="auto"/>
              <w:left w:val="single" w:sz="4" w:space="0" w:color="auto"/>
              <w:bottom w:val="single" w:sz="4" w:space="0" w:color="auto"/>
              <w:right w:val="single" w:sz="4" w:space="0" w:color="auto"/>
            </w:tcBorders>
            <w:noWrap/>
            <w:hideMark/>
          </w:tcPr>
          <w:p w14:paraId="501F901C"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lastRenderedPageBreak/>
              <w:t> </w:t>
            </w:r>
          </w:p>
        </w:tc>
        <w:tc>
          <w:tcPr>
            <w:tcW w:w="2360" w:type="dxa"/>
            <w:gridSpan w:val="2"/>
            <w:tcBorders>
              <w:top w:val="single" w:sz="4" w:space="0" w:color="auto"/>
              <w:left w:val="nil"/>
              <w:bottom w:val="single" w:sz="4" w:space="0" w:color="auto"/>
              <w:right w:val="single" w:sz="4" w:space="0" w:color="auto"/>
            </w:tcBorders>
            <w:noWrap/>
            <w:hideMark/>
          </w:tcPr>
          <w:p w14:paraId="65E86945"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w:t>
            </w:r>
          </w:p>
        </w:tc>
        <w:tc>
          <w:tcPr>
            <w:tcW w:w="6791" w:type="dxa"/>
            <w:tcBorders>
              <w:top w:val="single" w:sz="4" w:space="0" w:color="auto"/>
              <w:left w:val="nil"/>
              <w:bottom w:val="single" w:sz="4" w:space="0" w:color="auto"/>
              <w:right w:val="single" w:sz="4" w:space="0" w:color="auto"/>
            </w:tcBorders>
            <w:vAlign w:val="center"/>
            <w:hideMark/>
          </w:tcPr>
          <w:p w14:paraId="201B79E0" w14:textId="77777777" w:rsidR="00BF6C93" w:rsidRDefault="00BF6C93">
            <w:pPr>
              <w:spacing w:after="0" w:line="240" w:lineRule="auto"/>
              <w:jc w:val="center"/>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8 Requests for the consideration of the Enhance</w:t>
            </w:r>
            <w:r w:rsidR="003D3043">
              <w:rPr>
                <w:rFonts w:eastAsia="Times New Roman" w:cs="Calibri"/>
                <w:b/>
                <w:bCs/>
                <w:color w:val="000000"/>
                <w:sz w:val="24"/>
                <w:szCs w:val="24"/>
                <w:u w:val="single"/>
                <w:lang w:eastAsia="en-GB"/>
              </w:rPr>
              <w:t>d</w:t>
            </w:r>
            <w:r>
              <w:rPr>
                <w:rFonts w:eastAsia="Times New Roman" w:cs="Calibri"/>
                <w:b/>
                <w:bCs/>
                <w:color w:val="000000"/>
                <w:sz w:val="24"/>
                <w:szCs w:val="24"/>
                <w:u w:val="single"/>
                <w:lang w:eastAsia="en-GB"/>
              </w:rPr>
              <w:t xml:space="preserve"> Status Quo</w:t>
            </w:r>
          </w:p>
        </w:tc>
      </w:tr>
      <w:tr w:rsidR="00BF6C93" w14:paraId="352E4FE1" w14:textId="77777777" w:rsidTr="008261A4">
        <w:trPr>
          <w:gridAfter w:val="1"/>
          <w:wAfter w:w="260" w:type="dxa"/>
          <w:trHeight w:val="910"/>
        </w:trPr>
        <w:tc>
          <w:tcPr>
            <w:tcW w:w="892" w:type="dxa"/>
            <w:gridSpan w:val="2"/>
            <w:tcBorders>
              <w:top w:val="nil"/>
              <w:left w:val="single" w:sz="4" w:space="0" w:color="auto"/>
              <w:bottom w:val="single" w:sz="4" w:space="0" w:color="auto"/>
              <w:right w:val="single" w:sz="4" w:space="0" w:color="auto"/>
            </w:tcBorders>
            <w:noWrap/>
            <w:hideMark/>
          </w:tcPr>
          <w:p w14:paraId="1DD5D38D"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1</w:t>
            </w:r>
          </w:p>
        </w:tc>
        <w:tc>
          <w:tcPr>
            <w:tcW w:w="2360" w:type="dxa"/>
            <w:gridSpan w:val="2"/>
            <w:tcBorders>
              <w:top w:val="nil"/>
              <w:left w:val="nil"/>
              <w:bottom w:val="single" w:sz="4" w:space="0" w:color="auto"/>
              <w:right w:val="single" w:sz="4" w:space="0" w:color="auto"/>
            </w:tcBorders>
            <w:noWrap/>
            <w:hideMark/>
          </w:tcPr>
          <w:p w14:paraId="2F218A76"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18 paragraph 3</w:t>
            </w:r>
          </w:p>
        </w:tc>
        <w:tc>
          <w:tcPr>
            <w:tcW w:w="6791" w:type="dxa"/>
            <w:tcBorders>
              <w:top w:val="nil"/>
              <w:left w:val="nil"/>
              <w:bottom w:val="single" w:sz="4" w:space="0" w:color="auto"/>
              <w:right w:val="single" w:sz="4" w:space="0" w:color="auto"/>
            </w:tcBorders>
            <w:hideMark/>
          </w:tcPr>
          <w:p w14:paraId="34C99A39"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The review team felt that the rationale for including or discounting options was not explicit in the information we received</w:t>
            </w:r>
          </w:p>
        </w:tc>
      </w:tr>
      <w:tr w:rsidR="00BF6C93" w14:paraId="19906B28" w14:textId="77777777" w:rsidTr="008261A4">
        <w:trPr>
          <w:gridAfter w:val="1"/>
          <w:wAfter w:w="260" w:type="dxa"/>
          <w:trHeight w:val="1010"/>
        </w:trPr>
        <w:tc>
          <w:tcPr>
            <w:tcW w:w="892" w:type="dxa"/>
            <w:gridSpan w:val="2"/>
            <w:tcBorders>
              <w:top w:val="nil"/>
              <w:left w:val="single" w:sz="4" w:space="0" w:color="auto"/>
              <w:bottom w:val="single" w:sz="4" w:space="0" w:color="auto"/>
              <w:right w:val="single" w:sz="4" w:space="0" w:color="auto"/>
            </w:tcBorders>
            <w:noWrap/>
            <w:hideMark/>
          </w:tcPr>
          <w:p w14:paraId="4CBB360A"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2</w:t>
            </w:r>
          </w:p>
        </w:tc>
        <w:tc>
          <w:tcPr>
            <w:tcW w:w="2360" w:type="dxa"/>
            <w:gridSpan w:val="2"/>
            <w:tcBorders>
              <w:top w:val="nil"/>
              <w:left w:val="nil"/>
              <w:bottom w:val="single" w:sz="4" w:space="0" w:color="auto"/>
              <w:right w:val="single" w:sz="4" w:space="0" w:color="auto"/>
            </w:tcBorders>
            <w:noWrap/>
            <w:hideMark/>
          </w:tcPr>
          <w:p w14:paraId="45150C87"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20 paragraph 2</w:t>
            </w:r>
          </w:p>
        </w:tc>
        <w:tc>
          <w:tcPr>
            <w:tcW w:w="6791" w:type="dxa"/>
            <w:tcBorders>
              <w:top w:val="nil"/>
              <w:left w:val="nil"/>
              <w:bottom w:val="single" w:sz="4" w:space="0" w:color="auto"/>
              <w:right w:val="single" w:sz="4" w:space="0" w:color="auto"/>
            </w:tcBorders>
            <w:hideMark/>
          </w:tcPr>
          <w:p w14:paraId="538E6A4A"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Some stakeholders also felt the opportunity to look innovatively at an improved model for rehabilitation within the overall model of care was not being taken.</w:t>
            </w:r>
          </w:p>
        </w:tc>
      </w:tr>
      <w:tr w:rsidR="00BF6C93" w14:paraId="0B956E78" w14:textId="77777777" w:rsidTr="008261A4">
        <w:trPr>
          <w:gridAfter w:val="1"/>
          <w:wAfter w:w="260" w:type="dxa"/>
          <w:trHeight w:val="1610"/>
        </w:trPr>
        <w:tc>
          <w:tcPr>
            <w:tcW w:w="892" w:type="dxa"/>
            <w:gridSpan w:val="2"/>
            <w:tcBorders>
              <w:top w:val="nil"/>
              <w:left w:val="single" w:sz="4" w:space="0" w:color="auto"/>
              <w:bottom w:val="single" w:sz="4" w:space="0" w:color="auto"/>
              <w:right w:val="single" w:sz="4" w:space="0" w:color="auto"/>
            </w:tcBorders>
            <w:noWrap/>
            <w:hideMark/>
          </w:tcPr>
          <w:p w14:paraId="546BA1F1"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3</w:t>
            </w:r>
          </w:p>
        </w:tc>
        <w:tc>
          <w:tcPr>
            <w:tcW w:w="2360" w:type="dxa"/>
            <w:gridSpan w:val="2"/>
            <w:tcBorders>
              <w:top w:val="nil"/>
              <w:left w:val="nil"/>
              <w:bottom w:val="single" w:sz="4" w:space="0" w:color="auto"/>
              <w:right w:val="single" w:sz="4" w:space="0" w:color="auto"/>
            </w:tcBorders>
            <w:noWrap/>
            <w:hideMark/>
          </w:tcPr>
          <w:p w14:paraId="40306E2C"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20 paragraph 4</w:t>
            </w:r>
          </w:p>
        </w:tc>
        <w:tc>
          <w:tcPr>
            <w:tcW w:w="6791" w:type="dxa"/>
            <w:tcBorders>
              <w:top w:val="nil"/>
              <w:left w:val="nil"/>
              <w:bottom w:val="single" w:sz="4" w:space="0" w:color="auto"/>
              <w:right w:val="single" w:sz="4" w:space="0" w:color="auto"/>
            </w:tcBorders>
            <w:hideMark/>
          </w:tcPr>
          <w:p w14:paraId="1CFF5CBD"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Whilst many stakeholders indicated support for a two-centre model for elective orthopaedic inpatients, patients and carers representatives have mixed views and would like to see stronger evidence, including the potential to deliver benefits through the current model or an enhancement of it. </w:t>
            </w:r>
          </w:p>
        </w:tc>
      </w:tr>
      <w:tr w:rsidR="00BF6C93" w14:paraId="0F595945" w14:textId="77777777" w:rsidTr="008261A4">
        <w:trPr>
          <w:gridAfter w:val="1"/>
          <w:wAfter w:w="260" w:type="dxa"/>
          <w:trHeight w:val="860"/>
        </w:trPr>
        <w:tc>
          <w:tcPr>
            <w:tcW w:w="892" w:type="dxa"/>
            <w:gridSpan w:val="2"/>
            <w:tcBorders>
              <w:top w:val="nil"/>
              <w:left w:val="single" w:sz="4" w:space="0" w:color="auto"/>
              <w:bottom w:val="single" w:sz="4" w:space="0" w:color="auto"/>
              <w:right w:val="single" w:sz="4" w:space="0" w:color="auto"/>
            </w:tcBorders>
            <w:noWrap/>
            <w:hideMark/>
          </w:tcPr>
          <w:p w14:paraId="7EBBA0B8"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4</w:t>
            </w:r>
          </w:p>
        </w:tc>
        <w:tc>
          <w:tcPr>
            <w:tcW w:w="2360" w:type="dxa"/>
            <w:gridSpan w:val="2"/>
            <w:tcBorders>
              <w:top w:val="nil"/>
              <w:left w:val="nil"/>
              <w:bottom w:val="single" w:sz="4" w:space="0" w:color="auto"/>
              <w:right w:val="single" w:sz="4" w:space="0" w:color="auto"/>
            </w:tcBorders>
            <w:noWrap/>
            <w:hideMark/>
          </w:tcPr>
          <w:p w14:paraId="7F11BCB5"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20 paragraph 5</w:t>
            </w:r>
          </w:p>
        </w:tc>
        <w:tc>
          <w:tcPr>
            <w:tcW w:w="6791" w:type="dxa"/>
            <w:tcBorders>
              <w:top w:val="nil"/>
              <w:left w:val="nil"/>
              <w:bottom w:val="single" w:sz="4" w:space="0" w:color="auto"/>
              <w:right w:val="single" w:sz="4" w:space="0" w:color="auto"/>
            </w:tcBorders>
            <w:hideMark/>
          </w:tcPr>
          <w:p w14:paraId="66817459"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The rationale for continuing to explore or discount specific options was not explicit in the documentation we received.  </w:t>
            </w:r>
          </w:p>
        </w:tc>
      </w:tr>
      <w:tr w:rsidR="00BF6C93" w14:paraId="175BCF96" w14:textId="77777777" w:rsidTr="008261A4">
        <w:trPr>
          <w:gridAfter w:val="1"/>
          <w:wAfter w:w="260" w:type="dxa"/>
          <w:trHeight w:val="2070"/>
        </w:trPr>
        <w:tc>
          <w:tcPr>
            <w:tcW w:w="892" w:type="dxa"/>
            <w:gridSpan w:val="2"/>
            <w:tcBorders>
              <w:top w:val="nil"/>
              <w:left w:val="single" w:sz="4" w:space="0" w:color="auto"/>
              <w:bottom w:val="single" w:sz="4" w:space="0" w:color="auto"/>
              <w:right w:val="single" w:sz="4" w:space="0" w:color="auto"/>
            </w:tcBorders>
            <w:noWrap/>
            <w:hideMark/>
          </w:tcPr>
          <w:p w14:paraId="71C264DC"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5</w:t>
            </w:r>
          </w:p>
        </w:tc>
        <w:tc>
          <w:tcPr>
            <w:tcW w:w="2360" w:type="dxa"/>
            <w:gridSpan w:val="2"/>
            <w:tcBorders>
              <w:top w:val="nil"/>
              <w:left w:val="nil"/>
              <w:bottom w:val="single" w:sz="4" w:space="0" w:color="auto"/>
              <w:right w:val="single" w:sz="4" w:space="0" w:color="auto"/>
            </w:tcBorders>
            <w:noWrap/>
            <w:hideMark/>
          </w:tcPr>
          <w:p w14:paraId="49A43FFC"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34 Bullet point 4</w:t>
            </w:r>
          </w:p>
        </w:tc>
        <w:tc>
          <w:tcPr>
            <w:tcW w:w="6791" w:type="dxa"/>
            <w:tcBorders>
              <w:top w:val="nil"/>
              <w:left w:val="nil"/>
              <w:bottom w:val="single" w:sz="4" w:space="0" w:color="auto"/>
              <w:right w:val="single" w:sz="4" w:space="0" w:color="auto"/>
            </w:tcBorders>
            <w:hideMark/>
          </w:tcPr>
          <w:p w14:paraId="3D378E53"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Due to variations in community and secondary care, there was not unanimity within the review team that the centralisation approach was necessary to yield the opportunities outlined. Some members felt a comparison with the option of no site change but improved joint working alone still needed to be made both financially and from the impact on staff and patients’ equalities. </w:t>
            </w:r>
          </w:p>
        </w:tc>
      </w:tr>
      <w:tr w:rsidR="00BF6C93" w14:paraId="4C9D2141" w14:textId="77777777" w:rsidTr="008261A4">
        <w:trPr>
          <w:gridAfter w:val="1"/>
          <w:wAfter w:w="260" w:type="dxa"/>
          <w:trHeight w:val="910"/>
        </w:trPr>
        <w:tc>
          <w:tcPr>
            <w:tcW w:w="892" w:type="dxa"/>
            <w:gridSpan w:val="2"/>
            <w:tcBorders>
              <w:top w:val="nil"/>
              <w:left w:val="single" w:sz="4" w:space="0" w:color="auto"/>
              <w:bottom w:val="single" w:sz="4" w:space="0" w:color="auto"/>
              <w:right w:val="single" w:sz="4" w:space="0" w:color="auto"/>
            </w:tcBorders>
            <w:noWrap/>
            <w:hideMark/>
          </w:tcPr>
          <w:p w14:paraId="38376145"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6</w:t>
            </w:r>
          </w:p>
        </w:tc>
        <w:tc>
          <w:tcPr>
            <w:tcW w:w="2360" w:type="dxa"/>
            <w:gridSpan w:val="2"/>
            <w:tcBorders>
              <w:top w:val="nil"/>
              <w:left w:val="nil"/>
              <w:bottom w:val="single" w:sz="4" w:space="0" w:color="auto"/>
              <w:right w:val="single" w:sz="4" w:space="0" w:color="auto"/>
            </w:tcBorders>
            <w:noWrap/>
            <w:hideMark/>
          </w:tcPr>
          <w:p w14:paraId="3F9B5B40"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35 bullet point13</w:t>
            </w:r>
          </w:p>
        </w:tc>
        <w:tc>
          <w:tcPr>
            <w:tcW w:w="6791" w:type="dxa"/>
            <w:tcBorders>
              <w:top w:val="nil"/>
              <w:left w:val="nil"/>
              <w:bottom w:val="single" w:sz="4" w:space="0" w:color="auto"/>
              <w:right w:val="single" w:sz="4" w:space="0" w:color="auto"/>
            </w:tcBorders>
            <w:hideMark/>
          </w:tcPr>
          <w:p w14:paraId="46086F28"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A comparison with the option of no site change but improved joint working alone needs to be made both financially and from the impact on staff and patients’ equalities. </w:t>
            </w:r>
          </w:p>
        </w:tc>
      </w:tr>
      <w:tr w:rsidR="00BF6C93" w14:paraId="6DA65D71" w14:textId="77777777" w:rsidTr="008261A4">
        <w:trPr>
          <w:gridAfter w:val="1"/>
          <w:wAfter w:w="260" w:type="dxa"/>
          <w:trHeight w:val="2360"/>
        </w:trPr>
        <w:tc>
          <w:tcPr>
            <w:tcW w:w="892" w:type="dxa"/>
            <w:gridSpan w:val="2"/>
            <w:tcBorders>
              <w:top w:val="nil"/>
              <w:left w:val="single" w:sz="4" w:space="0" w:color="auto"/>
              <w:bottom w:val="single" w:sz="4" w:space="0" w:color="auto"/>
              <w:right w:val="single" w:sz="4" w:space="0" w:color="auto"/>
            </w:tcBorders>
            <w:noWrap/>
            <w:hideMark/>
          </w:tcPr>
          <w:p w14:paraId="43119EA5"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7</w:t>
            </w:r>
          </w:p>
        </w:tc>
        <w:tc>
          <w:tcPr>
            <w:tcW w:w="2360" w:type="dxa"/>
            <w:gridSpan w:val="2"/>
            <w:tcBorders>
              <w:top w:val="nil"/>
              <w:left w:val="nil"/>
              <w:bottom w:val="single" w:sz="4" w:space="0" w:color="auto"/>
              <w:right w:val="single" w:sz="4" w:space="0" w:color="auto"/>
            </w:tcBorders>
            <w:noWrap/>
            <w:hideMark/>
          </w:tcPr>
          <w:p w14:paraId="15FFE63A"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36 bullet point17</w:t>
            </w:r>
          </w:p>
        </w:tc>
        <w:tc>
          <w:tcPr>
            <w:tcW w:w="6791" w:type="dxa"/>
            <w:tcBorders>
              <w:top w:val="nil"/>
              <w:left w:val="nil"/>
              <w:bottom w:val="single" w:sz="4" w:space="0" w:color="auto"/>
              <w:right w:val="single" w:sz="4" w:space="0" w:color="auto"/>
            </w:tcBorders>
            <w:hideMark/>
          </w:tcPr>
          <w:p w14:paraId="15300116"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We felt that the assumptions behind the two-centre model, for example relating to critical mass, could be explained in more detail and the rationale for continuing to explore or discount specific options was not explicit in the documentation we received. These issues were of particular concern to some PCRG members, who also felt the potential to achieve benefits within the current model, or an enhancement of it, had not been explored enough</w:t>
            </w:r>
          </w:p>
        </w:tc>
      </w:tr>
      <w:tr w:rsidR="00BF6C93" w14:paraId="63CB6E5A" w14:textId="77777777" w:rsidTr="008261A4">
        <w:trPr>
          <w:gridAfter w:val="1"/>
          <w:wAfter w:w="260" w:type="dxa"/>
          <w:trHeight w:val="1310"/>
        </w:trPr>
        <w:tc>
          <w:tcPr>
            <w:tcW w:w="892" w:type="dxa"/>
            <w:gridSpan w:val="2"/>
            <w:tcBorders>
              <w:top w:val="nil"/>
              <w:left w:val="single" w:sz="4" w:space="0" w:color="auto"/>
              <w:bottom w:val="single" w:sz="4" w:space="0" w:color="auto"/>
              <w:right w:val="single" w:sz="4" w:space="0" w:color="auto"/>
            </w:tcBorders>
            <w:noWrap/>
            <w:hideMark/>
          </w:tcPr>
          <w:p w14:paraId="225B9796" w14:textId="77777777" w:rsidR="00BF6C93" w:rsidRDefault="00BF6C93">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2360" w:type="dxa"/>
            <w:gridSpan w:val="2"/>
            <w:tcBorders>
              <w:top w:val="nil"/>
              <w:left w:val="nil"/>
              <w:bottom w:val="single" w:sz="4" w:space="0" w:color="auto"/>
              <w:right w:val="single" w:sz="4" w:space="0" w:color="auto"/>
            </w:tcBorders>
            <w:noWrap/>
            <w:hideMark/>
          </w:tcPr>
          <w:p w14:paraId="2ED31FBF"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37 bullet point 26</w:t>
            </w:r>
          </w:p>
        </w:tc>
        <w:tc>
          <w:tcPr>
            <w:tcW w:w="6791" w:type="dxa"/>
            <w:tcBorders>
              <w:top w:val="nil"/>
              <w:left w:val="nil"/>
              <w:bottom w:val="single" w:sz="4" w:space="0" w:color="auto"/>
              <w:right w:val="single" w:sz="4" w:space="0" w:color="auto"/>
            </w:tcBorders>
            <w:hideMark/>
          </w:tcPr>
          <w:p w14:paraId="7475BC73"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The option identification and appraisal process should be as explicit and transparent as possible in setting out the rationale for inclusion or exclusion of specific options.  </w:t>
            </w:r>
          </w:p>
        </w:tc>
      </w:tr>
    </w:tbl>
    <w:p w14:paraId="0E55662A" w14:textId="77777777" w:rsidR="003210C0" w:rsidRDefault="00B8132C"/>
    <w:p w14:paraId="7D3D0935" w14:textId="77777777" w:rsidR="00BF6C93" w:rsidRDefault="00BF6C93"/>
    <w:p w14:paraId="2997400C" w14:textId="77777777" w:rsidR="00BF6C93" w:rsidRDefault="00BF6C93"/>
    <w:p w14:paraId="2A80E7B3" w14:textId="77777777" w:rsidR="00BF6C93" w:rsidRDefault="00BF6C93"/>
    <w:p w14:paraId="2E45819D" w14:textId="77777777" w:rsidR="00BF6C93" w:rsidRDefault="00BF6C93"/>
    <w:p w14:paraId="3B8A37BB" w14:textId="77777777" w:rsidR="00BF6C93" w:rsidRDefault="00BF6C93"/>
    <w:p w14:paraId="4088D6A7" w14:textId="77777777" w:rsidR="00BF6C93" w:rsidRDefault="00BF6C93"/>
    <w:tbl>
      <w:tblPr>
        <w:tblW w:w="9600" w:type="dxa"/>
        <w:tblInd w:w="93" w:type="dxa"/>
        <w:tblLook w:val="04A0" w:firstRow="1" w:lastRow="0" w:firstColumn="1" w:lastColumn="0" w:noHBand="0" w:noVBand="1"/>
      </w:tblPr>
      <w:tblGrid>
        <w:gridCol w:w="540"/>
        <w:gridCol w:w="2040"/>
        <w:gridCol w:w="7020"/>
      </w:tblGrid>
      <w:tr w:rsidR="00BF6C93" w14:paraId="3F464F20" w14:textId="77777777" w:rsidTr="00BF6C93">
        <w:trPr>
          <w:trHeight w:val="560"/>
        </w:trPr>
        <w:tc>
          <w:tcPr>
            <w:tcW w:w="540" w:type="dxa"/>
            <w:tcBorders>
              <w:top w:val="single" w:sz="4" w:space="0" w:color="auto"/>
              <w:left w:val="single" w:sz="4" w:space="0" w:color="auto"/>
              <w:bottom w:val="single" w:sz="4" w:space="0" w:color="auto"/>
              <w:right w:val="single" w:sz="4" w:space="0" w:color="auto"/>
            </w:tcBorders>
            <w:noWrap/>
            <w:hideMark/>
          </w:tcPr>
          <w:p w14:paraId="5C9F96B7"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lastRenderedPageBreak/>
              <w:t> </w:t>
            </w:r>
          </w:p>
        </w:tc>
        <w:tc>
          <w:tcPr>
            <w:tcW w:w="2040" w:type="dxa"/>
            <w:tcBorders>
              <w:top w:val="single" w:sz="4" w:space="0" w:color="auto"/>
              <w:left w:val="nil"/>
              <w:bottom w:val="single" w:sz="4" w:space="0" w:color="auto"/>
              <w:right w:val="single" w:sz="4" w:space="0" w:color="auto"/>
            </w:tcBorders>
            <w:noWrap/>
            <w:hideMark/>
          </w:tcPr>
          <w:p w14:paraId="7165C058"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w:t>
            </w:r>
          </w:p>
        </w:tc>
        <w:tc>
          <w:tcPr>
            <w:tcW w:w="7020" w:type="dxa"/>
            <w:tcBorders>
              <w:top w:val="single" w:sz="4" w:space="0" w:color="auto"/>
              <w:left w:val="nil"/>
              <w:bottom w:val="single" w:sz="4" w:space="0" w:color="auto"/>
              <w:right w:val="single" w:sz="4" w:space="0" w:color="auto"/>
            </w:tcBorders>
            <w:vAlign w:val="center"/>
            <w:hideMark/>
          </w:tcPr>
          <w:p w14:paraId="6790F650" w14:textId="77777777" w:rsidR="00BF6C93" w:rsidRDefault="00BF6C93">
            <w:pPr>
              <w:spacing w:after="0" w:line="240" w:lineRule="auto"/>
              <w:jc w:val="center"/>
              <w:rPr>
                <w:rFonts w:eastAsia="Times New Roman" w:cs="Calibri"/>
                <w:b/>
                <w:bCs/>
                <w:color w:val="000000"/>
                <w:sz w:val="24"/>
                <w:szCs w:val="24"/>
                <w:u w:val="single"/>
                <w:lang w:eastAsia="en-GB"/>
              </w:rPr>
            </w:pPr>
            <w:r>
              <w:rPr>
                <w:rFonts w:eastAsia="Times New Roman" w:cs="Calibri"/>
                <w:b/>
                <w:bCs/>
                <w:color w:val="000000"/>
                <w:sz w:val="24"/>
                <w:szCs w:val="24"/>
                <w:u w:val="single"/>
                <w:lang w:eastAsia="en-GB"/>
              </w:rPr>
              <w:t>5 Requests  for more consideration of the Equalities impact</w:t>
            </w:r>
          </w:p>
        </w:tc>
      </w:tr>
      <w:tr w:rsidR="00BF6C93" w14:paraId="18060C1E" w14:textId="77777777" w:rsidTr="00BF6C93">
        <w:trPr>
          <w:trHeight w:val="740"/>
        </w:trPr>
        <w:tc>
          <w:tcPr>
            <w:tcW w:w="540" w:type="dxa"/>
            <w:tcBorders>
              <w:top w:val="nil"/>
              <w:left w:val="single" w:sz="4" w:space="0" w:color="auto"/>
              <w:bottom w:val="single" w:sz="4" w:space="0" w:color="auto"/>
              <w:right w:val="single" w:sz="4" w:space="0" w:color="auto"/>
            </w:tcBorders>
            <w:noWrap/>
            <w:hideMark/>
          </w:tcPr>
          <w:p w14:paraId="07566654" w14:textId="77777777" w:rsidR="00BF6C93" w:rsidRDefault="00BF6C93">
            <w:pPr>
              <w:spacing w:after="0" w:line="240" w:lineRule="auto"/>
              <w:jc w:val="right"/>
              <w:rPr>
                <w:rFonts w:eastAsia="Times New Roman" w:cs="Calibri"/>
                <w:color w:val="000000"/>
                <w:lang w:eastAsia="en-GB"/>
              </w:rPr>
            </w:pPr>
            <w:r>
              <w:rPr>
                <w:rFonts w:eastAsia="Times New Roman" w:cs="Calibri"/>
                <w:color w:val="000000"/>
                <w:lang w:eastAsia="en-GB"/>
              </w:rPr>
              <w:t>1</w:t>
            </w:r>
          </w:p>
        </w:tc>
        <w:tc>
          <w:tcPr>
            <w:tcW w:w="2040" w:type="dxa"/>
            <w:tcBorders>
              <w:top w:val="nil"/>
              <w:left w:val="nil"/>
              <w:bottom w:val="single" w:sz="4" w:space="0" w:color="auto"/>
              <w:right w:val="single" w:sz="4" w:space="0" w:color="auto"/>
            </w:tcBorders>
            <w:noWrap/>
            <w:hideMark/>
          </w:tcPr>
          <w:p w14:paraId="18A066FB"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page5</w:t>
            </w:r>
          </w:p>
          <w:p w14:paraId="5C9B6314"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paragraph 6</w:t>
            </w:r>
          </w:p>
        </w:tc>
        <w:tc>
          <w:tcPr>
            <w:tcW w:w="7020" w:type="dxa"/>
            <w:tcBorders>
              <w:top w:val="nil"/>
              <w:left w:val="nil"/>
              <w:bottom w:val="single" w:sz="4" w:space="0" w:color="auto"/>
              <w:right w:val="single" w:sz="4" w:space="0" w:color="auto"/>
            </w:tcBorders>
            <w:hideMark/>
          </w:tcPr>
          <w:p w14:paraId="5034E36F"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We also noted the case for change currently lacked evidence of being informed by an equalities impact assessment. </w:t>
            </w:r>
          </w:p>
        </w:tc>
      </w:tr>
      <w:tr w:rsidR="00BF6C93" w14:paraId="1701F2BC" w14:textId="77777777" w:rsidTr="00BF6C93">
        <w:trPr>
          <w:trHeight w:val="1480"/>
        </w:trPr>
        <w:tc>
          <w:tcPr>
            <w:tcW w:w="540" w:type="dxa"/>
            <w:tcBorders>
              <w:top w:val="nil"/>
              <w:left w:val="single" w:sz="4" w:space="0" w:color="auto"/>
              <w:bottom w:val="single" w:sz="4" w:space="0" w:color="auto"/>
              <w:right w:val="single" w:sz="4" w:space="0" w:color="auto"/>
            </w:tcBorders>
            <w:noWrap/>
            <w:hideMark/>
          </w:tcPr>
          <w:p w14:paraId="3B0B98DD" w14:textId="77777777" w:rsidR="00BF6C93" w:rsidRDefault="00BF6C93">
            <w:pPr>
              <w:spacing w:after="0" w:line="240" w:lineRule="auto"/>
              <w:jc w:val="right"/>
              <w:rPr>
                <w:rFonts w:eastAsia="Times New Roman" w:cs="Calibri"/>
                <w:color w:val="000000"/>
                <w:lang w:eastAsia="en-GB"/>
              </w:rPr>
            </w:pPr>
            <w:r>
              <w:rPr>
                <w:rFonts w:eastAsia="Times New Roman" w:cs="Calibri"/>
                <w:color w:val="000000"/>
                <w:lang w:eastAsia="en-GB"/>
              </w:rPr>
              <w:t>2</w:t>
            </w:r>
          </w:p>
        </w:tc>
        <w:tc>
          <w:tcPr>
            <w:tcW w:w="2040" w:type="dxa"/>
            <w:tcBorders>
              <w:top w:val="nil"/>
              <w:left w:val="nil"/>
              <w:bottom w:val="single" w:sz="4" w:space="0" w:color="auto"/>
              <w:right w:val="single" w:sz="4" w:space="0" w:color="auto"/>
            </w:tcBorders>
            <w:noWrap/>
            <w:hideMark/>
          </w:tcPr>
          <w:p w14:paraId="46F43871"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page 6 </w:t>
            </w:r>
          </w:p>
          <w:p w14:paraId="22261EF2"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paragraph 4</w:t>
            </w:r>
          </w:p>
        </w:tc>
        <w:tc>
          <w:tcPr>
            <w:tcW w:w="7020" w:type="dxa"/>
            <w:tcBorders>
              <w:top w:val="nil"/>
              <w:left w:val="nil"/>
              <w:bottom w:val="single" w:sz="4" w:space="0" w:color="auto"/>
              <w:right w:val="single" w:sz="4" w:space="0" w:color="auto"/>
            </w:tcBorders>
            <w:hideMark/>
          </w:tcPr>
          <w:p w14:paraId="2B7DDFDD"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Travel and transport implications for patients, carers and families and the impact on equalities are important factors in considering how the model could be delivered and options for doing so; we identified several areas where there could be a risk of inequalities increasing.</w:t>
            </w:r>
          </w:p>
        </w:tc>
      </w:tr>
      <w:tr w:rsidR="00BF6C93" w14:paraId="419FAC1C" w14:textId="77777777" w:rsidTr="00BF6C93">
        <w:trPr>
          <w:trHeight w:val="1390"/>
        </w:trPr>
        <w:tc>
          <w:tcPr>
            <w:tcW w:w="540" w:type="dxa"/>
            <w:tcBorders>
              <w:top w:val="nil"/>
              <w:left w:val="single" w:sz="4" w:space="0" w:color="auto"/>
              <w:bottom w:val="single" w:sz="4" w:space="0" w:color="auto"/>
              <w:right w:val="single" w:sz="4" w:space="0" w:color="auto"/>
            </w:tcBorders>
            <w:noWrap/>
            <w:hideMark/>
          </w:tcPr>
          <w:p w14:paraId="40C9DAC8" w14:textId="77777777" w:rsidR="00BF6C93" w:rsidRDefault="00BF6C93">
            <w:pPr>
              <w:spacing w:after="0" w:line="240" w:lineRule="auto"/>
              <w:jc w:val="right"/>
              <w:rPr>
                <w:rFonts w:eastAsia="Times New Roman" w:cs="Calibri"/>
                <w:color w:val="000000"/>
                <w:lang w:eastAsia="en-GB"/>
              </w:rPr>
            </w:pPr>
            <w:r>
              <w:rPr>
                <w:rFonts w:eastAsia="Times New Roman" w:cs="Calibri"/>
                <w:color w:val="000000"/>
                <w:lang w:eastAsia="en-GB"/>
              </w:rPr>
              <w:t>3</w:t>
            </w:r>
          </w:p>
        </w:tc>
        <w:tc>
          <w:tcPr>
            <w:tcW w:w="2040" w:type="dxa"/>
            <w:tcBorders>
              <w:top w:val="nil"/>
              <w:left w:val="nil"/>
              <w:bottom w:val="single" w:sz="4" w:space="0" w:color="auto"/>
              <w:right w:val="single" w:sz="4" w:space="0" w:color="auto"/>
            </w:tcBorders>
            <w:noWrap/>
            <w:hideMark/>
          </w:tcPr>
          <w:p w14:paraId="1ADB053F"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page12 </w:t>
            </w:r>
          </w:p>
          <w:p w14:paraId="5F650C84"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paragraph 3</w:t>
            </w:r>
          </w:p>
        </w:tc>
        <w:tc>
          <w:tcPr>
            <w:tcW w:w="7020" w:type="dxa"/>
            <w:tcBorders>
              <w:top w:val="nil"/>
              <w:left w:val="nil"/>
              <w:bottom w:val="single" w:sz="4" w:space="0" w:color="auto"/>
              <w:right w:val="single" w:sz="4" w:space="0" w:color="auto"/>
            </w:tcBorders>
            <w:hideMark/>
          </w:tcPr>
          <w:p w14:paraId="429DFA7F"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We did not see any evidence that an equalities assessment has informed the case for change, including through the modelling of demographic growth and forecasts of future demand. Overall, we felt that equalities information provided for this review was weak.</w:t>
            </w:r>
          </w:p>
        </w:tc>
      </w:tr>
      <w:tr w:rsidR="00BF6C93" w14:paraId="025BBA47" w14:textId="77777777" w:rsidTr="00BF6C93">
        <w:trPr>
          <w:trHeight w:val="3120"/>
        </w:trPr>
        <w:tc>
          <w:tcPr>
            <w:tcW w:w="540" w:type="dxa"/>
            <w:tcBorders>
              <w:top w:val="nil"/>
              <w:left w:val="single" w:sz="4" w:space="0" w:color="auto"/>
              <w:bottom w:val="single" w:sz="4" w:space="0" w:color="auto"/>
              <w:right w:val="single" w:sz="4" w:space="0" w:color="auto"/>
            </w:tcBorders>
            <w:noWrap/>
            <w:hideMark/>
          </w:tcPr>
          <w:p w14:paraId="259A7D13" w14:textId="77777777" w:rsidR="00BF6C93" w:rsidRDefault="00BF6C93">
            <w:pPr>
              <w:spacing w:after="0" w:line="240" w:lineRule="auto"/>
              <w:jc w:val="right"/>
              <w:rPr>
                <w:rFonts w:eastAsia="Times New Roman" w:cs="Calibri"/>
                <w:color w:val="000000"/>
                <w:lang w:eastAsia="en-GB"/>
              </w:rPr>
            </w:pPr>
            <w:r>
              <w:rPr>
                <w:rFonts w:eastAsia="Times New Roman" w:cs="Calibri"/>
                <w:color w:val="000000"/>
                <w:lang w:eastAsia="en-GB"/>
              </w:rPr>
              <w:t>4</w:t>
            </w:r>
          </w:p>
        </w:tc>
        <w:tc>
          <w:tcPr>
            <w:tcW w:w="2040" w:type="dxa"/>
            <w:tcBorders>
              <w:top w:val="nil"/>
              <w:left w:val="nil"/>
              <w:bottom w:val="single" w:sz="4" w:space="0" w:color="auto"/>
              <w:right w:val="single" w:sz="4" w:space="0" w:color="auto"/>
            </w:tcBorders>
            <w:noWrap/>
            <w:hideMark/>
          </w:tcPr>
          <w:p w14:paraId="32BCFFA5"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page 17 </w:t>
            </w:r>
          </w:p>
          <w:p w14:paraId="17A82A32"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paragraph 1</w:t>
            </w:r>
          </w:p>
        </w:tc>
        <w:tc>
          <w:tcPr>
            <w:tcW w:w="7020" w:type="dxa"/>
            <w:tcBorders>
              <w:top w:val="nil"/>
              <w:left w:val="nil"/>
              <w:bottom w:val="single" w:sz="4" w:space="0" w:color="auto"/>
              <w:right w:val="single" w:sz="4" w:space="0" w:color="auto"/>
            </w:tcBorders>
            <w:vAlign w:val="bottom"/>
            <w:hideMark/>
          </w:tcPr>
          <w:p w14:paraId="29677E0E"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Based on the evidence we saw, equalities issues have not been sufficiently explored in the case for change. These include general issues such as travel times and costs (and any socioeconomic impact for specific population groups), disease specific issues such as complex medical care, readmissions etc and patient population issues such as such as mental health, learning disabilities, vulnerable groups and age. There is limited information about any current inequalities in relation to elective orthopaedic care or the implications of future demographic changes, particularly at a borough level where there is likely to be greater variance than for south east London as a whole.  </w:t>
            </w:r>
          </w:p>
        </w:tc>
      </w:tr>
      <w:tr w:rsidR="00BF6C93" w14:paraId="7823586B" w14:textId="77777777" w:rsidTr="00BF6C93">
        <w:trPr>
          <w:trHeight w:val="1620"/>
        </w:trPr>
        <w:tc>
          <w:tcPr>
            <w:tcW w:w="540" w:type="dxa"/>
            <w:tcBorders>
              <w:top w:val="nil"/>
              <w:left w:val="single" w:sz="4" w:space="0" w:color="auto"/>
              <w:bottom w:val="single" w:sz="4" w:space="0" w:color="auto"/>
              <w:right w:val="single" w:sz="4" w:space="0" w:color="auto"/>
            </w:tcBorders>
            <w:noWrap/>
            <w:hideMark/>
          </w:tcPr>
          <w:p w14:paraId="1405EB72" w14:textId="77777777" w:rsidR="00BF6C93" w:rsidRDefault="00BF6C93">
            <w:pPr>
              <w:spacing w:after="0" w:line="240" w:lineRule="auto"/>
              <w:jc w:val="right"/>
              <w:rPr>
                <w:rFonts w:eastAsia="Times New Roman" w:cs="Calibri"/>
                <w:color w:val="000000"/>
                <w:lang w:eastAsia="en-GB"/>
              </w:rPr>
            </w:pPr>
            <w:r>
              <w:rPr>
                <w:rFonts w:eastAsia="Times New Roman" w:cs="Calibri"/>
                <w:color w:val="000000"/>
                <w:lang w:eastAsia="en-GB"/>
              </w:rPr>
              <w:t>5</w:t>
            </w:r>
          </w:p>
        </w:tc>
        <w:tc>
          <w:tcPr>
            <w:tcW w:w="2040" w:type="dxa"/>
            <w:tcBorders>
              <w:top w:val="nil"/>
              <w:left w:val="nil"/>
              <w:bottom w:val="single" w:sz="4" w:space="0" w:color="auto"/>
              <w:right w:val="single" w:sz="4" w:space="0" w:color="auto"/>
            </w:tcBorders>
            <w:hideMark/>
          </w:tcPr>
          <w:p w14:paraId="422629FE"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Page 18</w:t>
            </w:r>
          </w:p>
          <w:p w14:paraId="4D25BAE2"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paragraph 3 </w:t>
            </w:r>
          </w:p>
          <w:p w14:paraId="3B7F4020"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bullet point 3</w:t>
            </w:r>
          </w:p>
        </w:tc>
        <w:tc>
          <w:tcPr>
            <w:tcW w:w="7020" w:type="dxa"/>
            <w:tcBorders>
              <w:top w:val="nil"/>
              <w:left w:val="nil"/>
              <w:bottom w:val="single" w:sz="4" w:space="0" w:color="auto"/>
              <w:right w:val="single" w:sz="4" w:space="0" w:color="auto"/>
            </w:tcBorders>
            <w:vAlign w:val="bottom"/>
            <w:hideMark/>
          </w:tcPr>
          <w:p w14:paraId="1BCBE52B" w14:textId="77777777" w:rsidR="00BF6C93" w:rsidRDefault="00BF6C93">
            <w:pPr>
              <w:spacing w:after="0" w:line="240" w:lineRule="auto"/>
              <w:rPr>
                <w:rFonts w:eastAsia="Times New Roman" w:cs="Calibri"/>
                <w:color w:val="000000"/>
                <w:lang w:eastAsia="en-GB"/>
              </w:rPr>
            </w:pPr>
            <w:r>
              <w:rPr>
                <w:rFonts w:eastAsia="Times New Roman" w:cs="Calibri"/>
                <w:color w:val="000000"/>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w:t>
            </w:r>
          </w:p>
        </w:tc>
      </w:tr>
    </w:tbl>
    <w:p w14:paraId="7F03EABE" w14:textId="77777777" w:rsidR="00BF6C93" w:rsidRDefault="00BF6C93"/>
    <w:p w14:paraId="54516E30" w14:textId="77777777" w:rsidR="00BF6C93" w:rsidRDefault="00BF6C93"/>
    <w:bookmarkEnd w:id="0"/>
    <w:sectPr w:rsidR="00BF6C93" w:rsidSect="00BF6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93"/>
    <w:rsid w:val="00082126"/>
    <w:rsid w:val="003D3043"/>
    <w:rsid w:val="008261A4"/>
    <w:rsid w:val="00AB1185"/>
    <w:rsid w:val="00AC2034"/>
    <w:rsid w:val="00B8132C"/>
    <w:rsid w:val="00B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D9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4365">
      <w:bodyDiv w:val="1"/>
      <w:marLeft w:val="0"/>
      <w:marRight w:val="0"/>
      <w:marTop w:val="0"/>
      <w:marBottom w:val="0"/>
      <w:divBdr>
        <w:top w:val="none" w:sz="0" w:space="0" w:color="auto"/>
        <w:left w:val="none" w:sz="0" w:space="0" w:color="auto"/>
        <w:bottom w:val="none" w:sz="0" w:space="0" w:color="auto"/>
        <w:right w:val="none" w:sz="0" w:space="0" w:color="auto"/>
      </w:divBdr>
    </w:div>
    <w:div w:id="343360486">
      <w:bodyDiv w:val="1"/>
      <w:marLeft w:val="0"/>
      <w:marRight w:val="0"/>
      <w:marTop w:val="0"/>
      <w:marBottom w:val="0"/>
      <w:divBdr>
        <w:top w:val="none" w:sz="0" w:space="0" w:color="auto"/>
        <w:left w:val="none" w:sz="0" w:space="0" w:color="auto"/>
        <w:bottom w:val="none" w:sz="0" w:space="0" w:color="auto"/>
        <w:right w:val="none" w:sz="0" w:space="0" w:color="auto"/>
      </w:divBdr>
    </w:div>
    <w:div w:id="1088232214">
      <w:bodyDiv w:val="1"/>
      <w:marLeft w:val="0"/>
      <w:marRight w:val="0"/>
      <w:marTop w:val="0"/>
      <w:marBottom w:val="0"/>
      <w:divBdr>
        <w:top w:val="none" w:sz="0" w:space="0" w:color="auto"/>
        <w:left w:val="none" w:sz="0" w:space="0" w:color="auto"/>
        <w:bottom w:val="none" w:sz="0" w:space="0" w:color="auto"/>
        <w:right w:val="none" w:sz="0" w:space="0" w:color="auto"/>
      </w:divBdr>
    </w:div>
    <w:div w:id="1621840899">
      <w:bodyDiv w:val="1"/>
      <w:marLeft w:val="0"/>
      <w:marRight w:val="0"/>
      <w:marTop w:val="0"/>
      <w:marBottom w:val="0"/>
      <w:divBdr>
        <w:top w:val="none" w:sz="0" w:space="0" w:color="auto"/>
        <w:left w:val="none" w:sz="0" w:space="0" w:color="auto"/>
        <w:bottom w:val="none" w:sz="0" w:space="0" w:color="auto"/>
        <w:right w:val="none" w:sz="0" w:space="0" w:color="auto"/>
      </w:divBdr>
    </w:div>
    <w:div w:id="1971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2218</Words>
  <Characters>12647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horler</dc:creator>
  <cp:lastModifiedBy>Olivia O'Sullivan</cp:lastModifiedBy>
  <cp:revision>3</cp:revision>
  <dcterms:created xsi:type="dcterms:W3CDTF">2016-10-09T11:00:00Z</dcterms:created>
  <dcterms:modified xsi:type="dcterms:W3CDTF">2016-10-09T11:41:00Z</dcterms:modified>
</cp:coreProperties>
</file>